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84" w:type="dxa"/>
        <w:tblLook w:val="04A0" w:firstRow="1" w:lastRow="0" w:firstColumn="1" w:lastColumn="0" w:noHBand="0" w:noVBand="1"/>
      </w:tblPr>
      <w:tblGrid>
        <w:gridCol w:w="5245"/>
        <w:gridCol w:w="5812"/>
      </w:tblGrid>
      <w:tr w:rsidR="006163B3" w:rsidRPr="00755383" w14:paraId="31A8EE61" w14:textId="77777777" w:rsidTr="006C27F7">
        <w:trPr>
          <w:trHeight w:val="135"/>
        </w:trPr>
        <w:tc>
          <w:tcPr>
            <w:tcW w:w="5245" w:type="dxa"/>
            <w:shd w:val="clear" w:color="auto" w:fill="auto"/>
            <w:noWrap/>
            <w:hideMark/>
          </w:tcPr>
          <w:p w14:paraId="010AC2EF" w14:textId="4FDEDC25" w:rsidR="005A0203" w:rsidRPr="00755383" w:rsidRDefault="00C47695" w:rsidP="00336BB8">
            <w:pPr>
              <w:spacing w:after="0" w:line="240" w:lineRule="auto"/>
              <w:jc w:val="center"/>
              <w:rPr>
                <w:rFonts w:ascii="Calibri" w:eastAsia="Times New Roman" w:hAnsi="Calibri" w:cs="Calibri"/>
                <w:b/>
                <w:bCs/>
                <w:color w:val="000000"/>
                <w:sz w:val="14"/>
                <w:szCs w:val="14"/>
              </w:rPr>
            </w:pPr>
            <w:r w:rsidRPr="00755383">
              <w:rPr>
                <w:rFonts w:ascii="Calibri" w:eastAsia="Times New Roman" w:hAnsi="Calibri" w:cs="Calibri"/>
                <w:b/>
                <w:bCs/>
                <w:color w:val="000000"/>
                <w:sz w:val="14"/>
                <w:szCs w:val="14"/>
              </w:rPr>
              <w:t xml:space="preserve"> </w:t>
            </w:r>
            <w:r w:rsidR="005A0203" w:rsidRPr="00755383">
              <w:rPr>
                <w:rFonts w:ascii="Calibri" w:eastAsia="Times New Roman" w:hAnsi="Calibri" w:cs="Calibri"/>
                <w:b/>
                <w:bCs/>
                <w:color w:val="000000"/>
                <w:sz w:val="14"/>
                <w:szCs w:val="14"/>
              </w:rPr>
              <w:t>TERMS AND CONDITIONS OF SERVICE AGREEMENTS</w:t>
            </w:r>
          </w:p>
        </w:tc>
        <w:tc>
          <w:tcPr>
            <w:tcW w:w="5812" w:type="dxa"/>
            <w:shd w:val="clear" w:color="auto" w:fill="auto"/>
            <w:noWrap/>
            <w:hideMark/>
          </w:tcPr>
          <w:p w14:paraId="14E50978" w14:textId="3A7FB366" w:rsidR="005A0203" w:rsidRPr="00755383" w:rsidRDefault="005A0203" w:rsidP="00336BB8">
            <w:pPr>
              <w:spacing w:after="0" w:line="240" w:lineRule="auto"/>
              <w:jc w:val="center"/>
              <w:rPr>
                <w:rFonts w:ascii="Calibri" w:eastAsia="Times New Roman" w:hAnsi="Calibri" w:cs="Calibri"/>
                <w:b/>
                <w:bCs/>
                <w:color w:val="000000"/>
                <w:sz w:val="14"/>
                <w:szCs w:val="14"/>
                <w:lang w:val="pl-PL"/>
              </w:rPr>
            </w:pPr>
            <w:r w:rsidRPr="00755383">
              <w:rPr>
                <w:rFonts w:ascii="Calibri" w:eastAsia="Times New Roman" w:hAnsi="Calibri" w:cs="Calibri"/>
                <w:b/>
                <w:bCs/>
                <w:color w:val="000000"/>
                <w:sz w:val="14"/>
                <w:szCs w:val="14"/>
                <w:lang w:val="pl-PL"/>
              </w:rPr>
              <w:t>WARUNKI UMÓW O ŚWIADCZENIE USŁUG</w:t>
            </w:r>
          </w:p>
        </w:tc>
      </w:tr>
      <w:tr w:rsidR="006163B3" w:rsidRPr="00755383" w14:paraId="748EBECB" w14:textId="77777777" w:rsidTr="006C27F7">
        <w:trPr>
          <w:trHeight w:val="300"/>
        </w:trPr>
        <w:tc>
          <w:tcPr>
            <w:tcW w:w="5245" w:type="dxa"/>
            <w:shd w:val="clear" w:color="auto" w:fill="auto"/>
            <w:noWrap/>
            <w:hideMark/>
          </w:tcPr>
          <w:p w14:paraId="38CDBD8B" w14:textId="0C4DA175" w:rsidR="005A0203" w:rsidRPr="00755383" w:rsidRDefault="005A0203" w:rsidP="00336BB8">
            <w:pPr>
              <w:spacing w:after="0" w:line="240" w:lineRule="auto"/>
              <w:jc w:val="center"/>
              <w:rPr>
                <w:rFonts w:ascii="Calibri" w:eastAsia="Times New Roman" w:hAnsi="Calibri" w:cs="Calibri"/>
                <w:b/>
                <w:bCs/>
                <w:color w:val="000000"/>
                <w:sz w:val="14"/>
                <w:szCs w:val="14"/>
              </w:rPr>
            </w:pPr>
            <w:r w:rsidRPr="00755383">
              <w:rPr>
                <w:rFonts w:ascii="Calibri" w:eastAsia="Times New Roman" w:hAnsi="Calibri" w:cs="Calibri"/>
                <w:b/>
                <w:bCs/>
                <w:color w:val="000000"/>
                <w:sz w:val="14"/>
                <w:szCs w:val="14"/>
              </w:rPr>
              <w:t>(</w:t>
            </w:r>
            <w:r w:rsidR="000D22D4" w:rsidRPr="00755383">
              <w:rPr>
                <w:rFonts w:ascii="Calibri" w:eastAsia="Times New Roman" w:hAnsi="Calibri" w:cs="Calibri"/>
                <w:b/>
                <w:bCs/>
                <w:color w:val="000000"/>
                <w:sz w:val="14"/>
                <w:szCs w:val="14"/>
              </w:rPr>
              <w:t>Poland</w:t>
            </w:r>
            <w:r w:rsidRPr="00755383">
              <w:rPr>
                <w:rFonts w:ascii="Calibri" w:eastAsia="Times New Roman" w:hAnsi="Calibri" w:cs="Calibri"/>
                <w:b/>
                <w:bCs/>
                <w:color w:val="000000"/>
                <w:sz w:val="14"/>
                <w:szCs w:val="14"/>
              </w:rPr>
              <w:t>)</w:t>
            </w:r>
          </w:p>
        </w:tc>
        <w:tc>
          <w:tcPr>
            <w:tcW w:w="5812" w:type="dxa"/>
            <w:shd w:val="clear" w:color="auto" w:fill="auto"/>
            <w:noWrap/>
            <w:hideMark/>
          </w:tcPr>
          <w:p w14:paraId="47ED4577" w14:textId="4872EAFF" w:rsidR="005A0203" w:rsidRPr="00755383" w:rsidRDefault="005A0203" w:rsidP="00336BB8">
            <w:pPr>
              <w:spacing w:after="0" w:line="240" w:lineRule="auto"/>
              <w:jc w:val="center"/>
              <w:rPr>
                <w:rFonts w:ascii="Calibri" w:eastAsia="Times New Roman" w:hAnsi="Calibri" w:cs="Calibri"/>
                <w:b/>
                <w:bCs/>
                <w:color w:val="000000"/>
                <w:sz w:val="14"/>
                <w:szCs w:val="14"/>
                <w:lang w:val="pl-PL"/>
              </w:rPr>
            </w:pPr>
            <w:r w:rsidRPr="00755383">
              <w:rPr>
                <w:rFonts w:ascii="Calibri" w:eastAsia="Times New Roman" w:hAnsi="Calibri" w:cs="Calibri"/>
                <w:b/>
                <w:bCs/>
                <w:color w:val="000000"/>
                <w:sz w:val="14"/>
                <w:szCs w:val="14"/>
                <w:lang w:val="pl-PL"/>
              </w:rPr>
              <w:t>(</w:t>
            </w:r>
            <w:r w:rsidR="000D22D4" w:rsidRPr="00755383">
              <w:rPr>
                <w:rFonts w:ascii="Calibri" w:eastAsia="Times New Roman" w:hAnsi="Calibri" w:cs="Calibri"/>
                <w:b/>
                <w:bCs/>
                <w:color w:val="000000"/>
                <w:sz w:val="14"/>
                <w:szCs w:val="14"/>
                <w:lang w:val="pl-PL"/>
              </w:rPr>
              <w:t>Polska</w:t>
            </w:r>
            <w:r w:rsidRPr="00755383">
              <w:rPr>
                <w:rFonts w:ascii="Calibri" w:eastAsia="Times New Roman" w:hAnsi="Calibri" w:cs="Calibri"/>
                <w:b/>
                <w:bCs/>
                <w:color w:val="000000"/>
                <w:sz w:val="14"/>
                <w:szCs w:val="14"/>
                <w:lang w:val="pl-PL"/>
              </w:rPr>
              <w:t>)</w:t>
            </w:r>
          </w:p>
        </w:tc>
      </w:tr>
      <w:tr w:rsidR="006163B3" w:rsidRPr="00755383" w14:paraId="056C7EE6" w14:textId="77777777" w:rsidTr="006C27F7">
        <w:trPr>
          <w:trHeight w:val="91"/>
        </w:trPr>
        <w:tc>
          <w:tcPr>
            <w:tcW w:w="5245" w:type="dxa"/>
            <w:shd w:val="clear" w:color="auto" w:fill="auto"/>
            <w:noWrap/>
            <w:hideMark/>
          </w:tcPr>
          <w:p w14:paraId="70FE7802"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1.                  Acceptance</w:t>
            </w:r>
          </w:p>
        </w:tc>
        <w:tc>
          <w:tcPr>
            <w:tcW w:w="5812" w:type="dxa"/>
            <w:shd w:val="clear" w:color="auto" w:fill="auto"/>
            <w:noWrap/>
            <w:hideMark/>
          </w:tcPr>
          <w:p w14:paraId="6D4EDC76"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1.                  Akceptacja</w:t>
            </w:r>
          </w:p>
        </w:tc>
      </w:tr>
      <w:tr w:rsidR="006163B3" w:rsidRPr="00755383" w14:paraId="0878F09B" w14:textId="77777777" w:rsidTr="006C27F7">
        <w:trPr>
          <w:trHeight w:val="1193"/>
        </w:trPr>
        <w:tc>
          <w:tcPr>
            <w:tcW w:w="5245" w:type="dxa"/>
            <w:shd w:val="clear" w:color="auto" w:fill="auto"/>
            <w:noWrap/>
            <w:hideMark/>
          </w:tcPr>
          <w:p w14:paraId="2E4D03EA" w14:textId="5DADCA07" w:rsidR="00C56E3D" w:rsidRPr="00755383" w:rsidRDefault="005A0203" w:rsidP="00FA3323">
            <w:pPr>
              <w:pStyle w:val="ListParagraph"/>
              <w:numPr>
                <w:ilvl w:val="0"/>
                <w:numId w:val="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lang w:val="pl-PL"/>
              </w:rPr>
              <w:t>"</w:t>
            </w:r>
            <w:proofErr w:type="spellStart"/>
            <w:r w:rsidRPr="00755383">
              <w:rPr>
                <w:rFonts w:ascii="Calibri" w:eastAsia="Georgia" w:hAnsi="Calibri" w:cs="Calibri"/>
                <w:b/>
                <w:bCs/>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refers</w:t>
            </w:r>
            <w:proofErr w:type="spellEnd"/>
            <w:r w:rsidRPr="00755383">
              <w:rPr>
                <w:rFonts w:ascii="Calibri" w:eastAsia="Georgia" w:hAnsi="Calibri" w:cs="Calibri"/>
                <w:color w:val="000000"/>
                <w:sz w:val="14"/>
                <w:szCs w:val="14"/>
                <w:lang w:val="pl-PL"/>
              </w:rPr>
              <w:t xml:space="preserve"> to </w:t>
            </w:r>
            <w:proofErr w:type="spellStart"/>
            <w:r w:rsidR="00C56E3D" w:rsidRPr="00755383">
              <w:rPr>
                <w:rFonts w:ascii="Calibri" w:eastAsia="Georgia" w:hAnsi="Calibri" w:cs="Calibri"/>
                <w:color w:val="000000"/>
                <w:sz w:val="14"/>
                <w:szCs w:val="14"/>
                <w:lang w:val="pl-PL"/>
              </w:rPr>
              <w:t>Videojet</w:t>
            </w:r>
            <w:proofErr w:type="spellEnd"/>
            <w:r w:rsidR="00C56E3D" w:rsidRPr="00755383">
              <w:rPr>
                <w:rFonts w:ascii="Calibri" w:eastAsia="Georgia" w:hAnsi="Calibri" w:cs="Calibri"/>
                <w:color w:val="000000"/>
                <w:sz w:val="14"/>
                <w:szCs w:val="14"/>
                <w:lang w:val="pl-PL"/>
              </w:rPr>
              <w:t xml:space="preserve"> Technologies sp. z o.o. z siedzibą w Warszawie, ul. </w:t>
            </w:r>
            <w:proofErr w:type="spellStart"/>
            <w:r w:rsidR="00C56E3D" w:rsidRPr="00755383">
              <w:rPr>
                <w:rFonts w:ascii="Calibri" w:eastAsia="Georgia" w:hAnsi="Calibri" w:cs="Calibri"/>
                <w:color w:val="000000"/>
                <w:sz w:val="14"/>
                <w:szCs w:val="14"/>
              </w:rPr>
              <w:t>Kolejowa</w:t>
            </w:r>
            <w:proofErr w:type="spellEnd"/>
            <w:r w:rsidR="00C56E3D" w:rsidRPr="00755383">
              <w:rPr>
                <w:rFonts w:ascii="Calibri" w:eastAsia="Georgia" w:hAnsi="Calibri" w:cs="Calibri"/>
                <w:color w:val="000000"/>
                <w:sz w:val="14"/>
                <w:szCs w:val="14"/>
              </w:rPr>
              <w:t xml:space="preserve"> 5/7, 01-217 Warsaw, Poland </w:t>
            </w:r>
            <w:r w:rsidRPr="00755383">
              <w:rPr>
                <w:rFonts w:ascii="Calibri" w:eastAsia="Georgia" w:hAnsi="Calibri" w:cs="Calibri"/>
                <w:color w:val="000000"/>
                <w:sz w:val="14"/>
                <w:szCs w:val="14"/>
              </w:rPr>
              <w:t>with company number</w:t>
            </w:r>
            <w:r w:rsidR="00C56E3D" w:rsidRPr="00755383">
              <w:rPr>
                <w:sz w:val="14"/>
                <w:szCs w:val="14"/>
              </w:rPr>
              <w:t xml:space="preserve"> </w:t>
            </w:r>
            <w:r w:rsidR="00C56E3D" w:rsidRPr="00755383">
              <w:rPr>
                <w:rFonts w:ascii="Calibri" w:eastAsia="Georgia" w:hAnsi="Calibri" w:cs="Calibri"/>
                <w:color w:val="000000"/>
                <w:sz w:val="14"/>
                <w:szCs w:val="14"/>
              </w:rPr>
              <w:t>KRS: 0000046883, NIP: 8991002121</w:t>
            </w:r>
            <w:r w:rsidRPr="00755383">
              <w:rPr>
                <w:rFonts w:ascii="Calibri" w:eastAsia="Georgia" w:hAnsi="Calibri" w:cs="Calibri"/>
                <w:color w:val="000000"/>
                <w:sz w:val="14"/>
                <w:szCs w:val="14"/>
              </w:rPr>
              <w:t>, the "</w:t>
            </w:r>
            <w:r w:rsidRPr="00755383">
              <w:rPr>
                <w:rFonts w:ascii="Calibri" w:eastAsia="Georgia" w:hAnsi="Calibri" w:cs="Calibri"/>
                <w:b/>
                <w:bCs/>
                <w:color w:val="000000"/>
                <w:sz w:val="14"/>
                <w:szCs w:val="14"/>
              </w:rPr>
              <w:t>Customer</w:t>
            </w:r>
            <w:r w:rsidRPr="00755383">
              <w:rPr>
                <w:rFonts w:ascii="Calibri" w:eastAsia="Georgia" w:hAnsi="Calibri" w:cs="Calibri"/>
                <w:color w:val="000000"/>
                <w:sz w:val="14"/>
                <w:szCs w:val="14"/>
              </w:rPr>
              <w:t>" refers to the person, firm or company identified in the Service Agreement Order Form who purchases the Services from Videojet.</w:t>
            </w:r>
          </w:p>
        </w:tc>
        <w:tc>
          <w:tcPr>
            <w:tcW w:w="5812" w:type="dxa"/>
            <w:shd w:val="clear" w:color="auto" w:fill="auto"/>
            <w:noWrap/>
            <w:hideMark/>
          </w:tcPr>
          <w:p w14:paraId="5B9BF0FD" w14:textId="1B0CF404" w:rsidR="00C56E3D" w:rsidRPr="006C27F7" w:rsidRDefault="005A0203" w:rsidP="006C27F7">
            <w:pPr>
              <w:pStyle w:val="ListParagraph"/>
              <w:numPr>
                <w:ilvl w:val="0"/>
                <w:numId w:val="2"/>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w:t>
            </w:r>
            <w:proofErr w:type="spellStart"/>
            <w:r w:rsidRPr="00755383">
              <w:rPr>
                <w:rFonts w:ascii="Calibri" w:eastAsia="Georgia" w:hAnsi="Calibri" w:cs="Calibri"/>
                <w:b/>
                <w:bCs/>
                <w:color w:val="000000"/>
                <w:sz w:val="14"/>
                <w:szCs w:val="14"/>
                <w:lang w:val="pl-PL"/>
              </w:rPr>
              <w:t>Videojet</w:t>
            </w:r>
            <w:proofErr w:type="spellEnd"/>
            <w:r w:rsidRPr="00755383">
              <w:rPr>
                <w:rFonts w:ascii="Calibri" w:eastAsia="Georgia" w:hAnsi="Calibri" w:cs="Calibri"/>
                <w:color w:val="000000"/>
                <w:sz w:val="14"/>
                <w:szCs w:val="14"/>
                <w:lang w:val="pl-PL"/>
              </w:rPr>
              <w:t xml:space="preserve">” oznacza spółkę </w:t>
            </w:r>
            <w:proofErr w:type="spellStart"/>
            <w:r w:rsidR="00C56E3D" w:rsidRPr="00755383">
              <w:rPr>
                <w:rFonts w:ascii="Calibri" w:eastAsia="Georgia" w:hAnsi="Calibri" w:cs="Calibri"/>
                <w:color w:val="000000"/>
                <w:sz w:val="14"/>
                <w:szCs w:val="14"/>
                <w:lang w:val="pl-PL"/>
              </w:rPr>
              <w:t>Videojet</w:t>
            </w:r>
            <w:proofErr w:type="spellEnd"/>
            <w:r w:rsidR="00C56E3D" w:rsidRPr="00755383">
              <w:rPr>
                <w:rFonts w:ascii="Calibri" w:eastAsia="Georgia" w:hAnsi="Calibri" w:cs="Calibri"/>
                <w:color w:val="000000"/>
                <w:sz w:val="14"/>
                <w:szCs w:val="14"/>
                <w:lang w:val="pl-PL"/>
              </w:rPr>
              <w:t xml:space="preserve"> Technologies sp. z o.o. z siedzibą w Warszawie, ul. Kolejowa 5/7, 01-217 Warszawa, wpisaną do rejestru przedsiębiorców Krajowego Rejestru Sądowego, prowadzonego przez Sąd Rejonowy dla m. st. Warszawy w Warszawie, XII Wydział Gospodarczy Krajowego Rejestru Sądowego pod numerem KRS: 0000046883, NIP: 8991002121,  o kapitale zakładowym w wysokości 50 000 zł (w pełni opłaconym). </w:t>
            </w:r>
            <w:r w:rsidRPr="00755383">
              <w:rPr>
                <w:rFonts w:ascii="Calibri" w:eastAsia="Georgia" w:hAnsi="Calibri" w:cs="Calibri"/>
                <w:color w:val="000000"/>
                <w:sz w:val="14"/>
                <w:szCs w:val="14"/>
                <w:lang w:val="pl-PL"/>
              </w:rPr>
              <w:t xml:space="preserve"> „</w:t>
            </w:r>
            <w:r w:rsidRPr="00755383">
              <w:rPr>
                <w:rFonts w:ascii="Calibri" w:eastAsia="Georgia" w:hAnsi="Calibri" w:cs="Calibri"/>
                <w:b/>
                <w:bCs/>
                <w:color w:val="000000"/>
                <w:sz w:val="14"/>
                <w:szCs w:val="14"/>
                <w:lang w:val="pl-PL"/>
              </w:rPr>
              <w:t>Klient</w:t>
            </w:r>
            <w:r w:rsidRPr="00755383">
              <w:rPr>
                <w:rFonts w:ascii="Calibri" w:eastAsia="Georgia" w:hAnsi="Calibri" w:cs="Calibri"/>
                <w:color w:val="000000"/>
                <w:sz w:val="14"/>
                <w:szCs w:val="14"/>
                <w:lang w:val="pl-PL"/>
              </w:rPr>
              <w:t xml:space="preserve">” oznacza osobę, </w:t>
            </w:r>
            <w:proofErr w:type="spellStart"/>
            <w:r w:rsidRPr="00755383">
              <w:rPr>
                <w:rFonts w:ascii="Calibri" w:eastAsia="Georgia" w:hAnsi="Calibri" w:cs="Calibri"/>
                <w:color w:val="000000"/>
                <w:sz w:val="14"/>
                <w:szCs w:val="14"/>
                <w:lang w:val="pl-PL"/>
              </w:rPr>
              <w:t>firmȩ</w:t>
            </w:r>
            <w:proofErr w:type="spellEnd"/>
            <w:r w:rsidRPr="00755383">
              <w:rPr>
                <w:rFonts w:ascii="Calibri" w:eastAsia="Georgia" w:hAnsi="Calibri" w:cs="Calibri"/>
                <w:color w:val="000000"/>
                <w:sz w:val="14"/>
                <w:szCs w:val="14"/>
                <w:lang w:val="pl-PL"/>
              </w:rPr>
              <w:t xml:space="preserve"> lub </w:t>
            </w:r>
            <w:proofErr w:type="spellStart"/>
            <w:r w:rsidRPr="00755383">
              <w:rPr>
                <w:rFonts w:ascii="Calibri" w:eastAsia="Georgia" w:hAnsi="Calibri" w:cs="Calibri"/>
                <w:color w:val="000000"/>
                <w:sz w:val="14"/>
                <w:szCs w:val="14"/>
                <w:lang w:val="pl-PL"/>
              </w:rPr>
              <w:t>spółkȩ</w:t>
            </w:r>
            <w:proofErr w:type="spellEnd"/>
            <w:r w:rsidRPr="00755383">
              <w:rPr>
                <w:rFonts w:ascii="Calibri" w:eastAsia="Georgia" w:hAnsi="Calibri" w:cs="Calibri"/>
                <w:color w:val="000000"/>
                <w:sz w:val="14"/>
                <w:szCs w:val="14"/>
                <w:lang w:val="pl-PL"/>
              </w:rPr>
              <w:t xml:space="preserve"> wskazaną w Formularzu Zamówienia Umowy o Świadczeniu Usług, która kupuje usługi od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r w:rsidR="00C56E3D" w:rsidRPr="00755383">
              <w:rPr>
                <w:rFonts w:ascii="Calibri" w:eastAsia="Georgia" w:hAnsi="Calibri" w:cs="Calibri"/>
                <w:color w:val="000000"/>
                <w:sz w:val="14"/>
                <w:szCs w:val="14"/>
                <w:lang w:val="pl-PL"/>
              </w:rPr>
              <w:t>´</w:t>
            </w:r>
          </w:p>
        </w:tc>
      </w:tr>
      <w:tr w:rsidR="006163B3" w:rsidRPr="00755383" w14:paraId="5BB2D5D5" w14:textId="77777777" w:rsidTr="006C27F7">
        <w:trPr>
          <w:trHeight w:val="248"/>
        </w:trPr>
        <w:tc>
          <w:tcPr>
            <w:tcW w:w="5245" w:type="dxa"/>
            <w:shd w:val="clear" w:color="auto" w:fill="auto"/>
            <w:noWrap/>
            <w:hideMark/>
          </w:tcPr>
          <w:p w14:paraId="22B323DB" w14:textId="1A87E05D" w:rsidR="005A0203" w:rsidRPr="00755383" w:rsidRDefault="005A0203" w:rsidP="00FA3323">
            <w:pPr>
              <w:pStyle w:val="ListParagraph"/>
              <w:numPr>
                <w:ilvl w:val="0"/>
                <w:numId w:val="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These Terms and Conditions of Service Agreements together with the documents expressly referred herein to constitute the "</w:t>
            </w:r>
            <w:r w:rsidRPr="00755383">
              <w:rPr>
                <w:rFonts w:ascii="Calibri" w:eastAsia="Georgia" w:hAnsi="Calibri" w:cs="Calibri"/>
                <w:b/>
                <w:bCs/>
                <w:color w:val="000000"/>
                <w:sz w:val="14"/>
                <w:szCs w:val="14"/>
              </w:rPr>
              <w:t>Service Agreement</w:t>
            </w:r>
            <w:r w:rsidRPr="00755383">
              <w:rPr>
                <w:rFonts w:ascii="Calibri" w:eastAsia="Georgia" w:hAnsi="Calibri" w:cs="Calibri"/>
                <w:color w:val="000000"/>
                <w:sz w:val="14"/>
                <w:szCs w:val="14"/>
              </w:rPr>
              <w:t>".</w:t>
            </w:r>
          </w:p>
        </w:tc>
        <w:tc>
          <w:tcPr>
            <w:tcW w:w="5812" w:type="dxa"/>
            <w:shd w:val="clear" w:color="auto" w:fill="auto"/>
            <w:noWrap/>
            <w:hideMark/>
          </w:tcPr>
          <w:p w14:paraId="4D734F37" w14:textId="7F0C615A" w:rsidR="005A0203" w:rsidRPr="00755383" w:rsidRDefault="005A0203" w:rsidP="00C56E3D">
            <w:pPr>
              <w:pStyle w:val="ListParagraph"/>
              <w:numPr>
                <w:ilvl w:val="0"/>
                <w:numId w:val="2"/>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Niniejsze Warunki Umów o Świadczenie Usług wraz z dokumentami, wyraźnie w nich wymienionymi stanowią „</w:t>
            </w:r>
            <w:r w:rsidRPr="00755383">
              <w:rPr>
                <w:rFonts w:ascii="Calibri" w:eastAsia="Georgia" w:hAnsi="Calibri" w:cs="Calibri"/>
                <w:b/>
                <w:bCs/>
                <w:color w:val="000000"/>
                <w:sz w:val="14"/>
                <w:szCs w:val="14"/>
                <w:lang w:val="pl-PL"/>
              </w:rPr>
              <w:t>Umowę o Świadczenie Usług</w:t>
            </w:r>
            <w:r w:rsidRPr="00755383">
              <w:rPr>
                <w:rFonts w:ascii="Calibri" w:eastAsia="Georgia" w:hAnsi="Calibri" w:cs="Calibri"/>
                <w:color w:val="000000"/>
                <w:sz w:val="14"/>
                <w:szCs w:val="14"/>
                <w:lang w:val="pl-PL"/>
              </w:rPr>
              <w:t>”.</w:t>
            </w:r>
          </w:p>
        </w:tc>
      </w:tr>
      <w:tr w:rsidR="006163B3" w:rsidRPr="00755383" w14:paraId="37074F82" w14:textId="77777777" w:rsidTr="006C27F7">
        <w:trPr>
          <w:trHeight w:val="763"/>
        </w:trPr>
        <w:tc>
          <w:tcPr>
            <w:tcW w:w="5245" w:type="dxa"/>
            <w:shd w:val="clear" w:color="auto" w:fill="auto"/>
            <w:noWrap/>
            <w:hideMark/>
          </w:tcPr>
          <w:p w14:paraId="4974EB97" w14:textId="77777777" w:rsidR="005A0203" w:rsidRPr="00755383" w:rsidRDefault="005A0203" w:rsidP="00FA3323">
            <w:pPr>
              <w:pStyle w:val="ListParagraph"/>
              <w:numPr>
                <w:ilvl w:val="0"/>
                <w:numId w:val="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 Service Agreement Order Form constitutes an offer by Videojet to provide the Services in accordance with the terms of the Service Agreement and such offer shall be deemed to be accepted when the Customer signs the Service Agreement Order Form at which point and on which date a contract shall come into existence.</w:t>
            </w:r>
          </w:p>
          <w:p w14:paraId="76C238F2" w14:textId="449CABBB" w:rsidR="00C56E3D" w:rsidRPr="00755383" w:rsidRDefault="00C56E3D" w:rsidP="00FA3323">
            <w:pPr>
              <w:pStyle w:val="ListParagraph"/>
              <w:spacing w:after="0" w:line="240" w:lineRule="auto"/>
              <w:ind w:left="592" w:hanging="567"/>
              <w:jc w:val="both"/>
              <w:rPr>
                <w:rFonts w:ascii="Calibri" w:eastAsia="Georgia" w:hAnsi="Calibri" w:cs="Calibri"/>
                <w:color w:val="000000"/>
                <w:sz w:val="14"/>
                <w:szCs w:val="14"/>
              </w:rPr>
            </w:pPr>
          </w:p>
        </w:tc>
        <w:tc>
          <w:tcPr>
            <w:tcW w:w="5812" w:type="dxa"/>
            <w:shd w:val="clear" w:color="auto" w:fill="auto"/>
            <w:noWrap/>
            <w:hideMark/>
          </w:tcPr>
          <w:p w14:paraId="140FA3B0" w14:textId="18FFA9DE" w:rsidR="005A0203" w:rsidRPr="00755383" w:rsidRDefault="005A0203" w:rsidP="00C56E3D">
            <w:pPr>
              <w:pStyle w:val="ListParagraph"/>
              <w:numPr>
                <w:ilvl w:val="0"/>
                <w:numId w:val="2"/>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Formularz Zamówienia Umowy o Świadczeniu Usług stanowi ofertę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na świadczenie usług zgodnie z warunkami Umowy o Świadczeniu Usług i taką ofertę uznaje się za zaakceptowaną, gdy Klient podpisze Formularz Zamówienia Umowy o Świadczeniu Usług, w której to </w:t>
            </w:r>
            <w:r w:rsidR="0023545D" w:rsidRPr="00755383">
              <w:rPr>
                <w:rFonts w:ascii="Calibri" w:eastAsia="Georgia" w:hAnsi="Calibri" w:cs="Calibri"/>
                <w:color w:val="000000"/>
                <w:sz w:val="14"/>
                <w:szCs w:val="14"/>
                <w:lang w:val="pl-PL"/>
              </w:rPr>
              <w:t>dacie</w:t>
            </w:r>
            <w:r w:rsidRPr="00755383">
              <w:rPr>
                <w:rFonts w:ascii="Calibri" w:eastAsia="Georgia" w:hAnsi="Calibri" w:cs="Calibri"/>
                <w:color w:val="000000"/>
                <w:sz w:val="14"/>
                <w:szCs w:val="14"/>
                <w:lang w:val="pl-PL"/>
              </w:rPr>
              <w:t xml:space="preserve"> umowa wchodzi w życie. </w:t>
            </w:r>
          </w:p>
        </w:tc>
      </w:tr>
      <w:tr w:rsidR="006163B3" w:rsidRPr="00755383" w14:paraId="4917CD75" w14:textId="77777777" w:rsidTr="006C27F7">
        <w:trPr>
          <w:trHeight w:val="711"/>
        </w:trPr>
        <w:tc>
          <w:tcPr>
            <w:tcW w:w="5245" w:type="dxa"/>
            <w:shd w:val="clear" w:color="auto" w:fill="auto"/>
            <w:noWrap/>
            <w:hideMark/>
          </w:tcPr>
          <w:p w14:paraId="1018E054" w14:textId="28DB5F59" w:rsidR="005A0203" w:rsidRPr="00755383" w:rsidRDefault="005A0203" w:rsidP="00FA3323">
            <w:pPr>
              <w:pStyle w:val="ListParagraph"/>
              <w:numPr>
                <w:ilvl w:val="0"/>
                <w:numId w:val="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Any quotation for the Services given by Videojet shall not constitute an offer capable of acceptance, and is only valid for a period of </w:t>
            </w:r>
            <w:r w:rsidR="00F87E1B">
              <w:rPr>
                <w:rFonts w:ascii="Calibri" w:eastAsia="Georgia" w:hAnsi="Calibri" w:cs="Calibri"/>
                <w:color w:val="000000"/>
                <w:sz w:val="14"/>
                <w:szCs w:val="14"/>
              </w:rPr>
              <w:t>twenty (</w:t>
            </w:r>
            <w:r w:rsidRPr="00755383">
              <w:rPr>
                <w:rFonts w:ascii="Calibri" w:eastAsia="Georgia" w:hAnsi="Calibri" w:cs="Calibri"/>
                <w:color w:val="000000"/>
                <w:sz w:val="14"/>
                <w:szCs w:val="14"/>
              </w:rPr>
              <w:t>20</w:t>
            </w:r>
            <w:r w:rsidR="00F87E1B">
              <w:rPr>
                <w:rFonts w:ascii="Calibri" w:eastAsia="Georgia" w:hAnsi="Calibri" w:cs="Calibri"/>
                <w:color w:val="000000"/>
                <w:sz w:val="14"/>
                <w:szCs w:val="14"/>
              </w:rPr>
              <w:t>)</w:t>
            </w:r>
            <w:r w:rsidRPr="00755383">
              <w:rPr>
                <w:rFonts w:ascii="Calibri" w:eastAsia="Georgia" w:hAnsi="Calibri" w:cs="Calibri"/>
                <w:color w:val="000000"/>
                <w:sz w:val="14"/>
                <w:szCs w:val="14"/>
              </w:rPr>
              <w:t xml:space="preserve"> business days from its date of issue.</w:t>
            </w:r>
          </w:p>
          <w:p w14:paraId="542DA1C2" w14:textId="77777777" w:rsidR="005F1323" w:rsidRPr="00755383" w:rsidRDefault="005F1323" w:rsidP="005F1323">
            <w:pPr>
              <w:pStyle w:val="ListParagraph"/>
              <w:spacing w:after="0" w:line="240" w:lineRule="auto"/>
              <w:ind w:left="592"/>
              <w:jc w:val="both"/>
              <w:rPr>
                <w:rFonts w:ascii="Calibri" w:eastAsia="Georgia" w:hAnsi="Calibri" w:cs="Calibri"/>
                <w:color w:val="000000"/>
                <w:sz w:val="14"/>
                <w:szCs w:val="14"/>
              </w:rPr>
            </w:pPr>
          </w:p>
          <w:p w14:paraId="2E820D63" w14:textId="257EE4B6" w:rsidR="00C56E3D" w:rsidRPr="00755383" w:rsidRDefault="00C56E3D" w:rsidP="00FA3323">
            <w:pPr>
              <w:pStyle w:val="ListParagraph"/>
              <w:spacing w:after="0" w:line="240" w:lineRule="auto"/>
              <w:ind w:left="592" w:hanging="567"/>
              <w:jc w:val="both"/>
              <w:rPr>
                <w:rFonts w:ascii="Calibri" w:eastAsia="Georgia" w:hAnsi="Calibri" w:cs="Calibri"/>
                <w:color w:val="000000"/>
                <w:sz w:val="14"/>
                <w:szCs w:val="14"/>
              </w:rPr>
            </w:pPr>
          </w:p>
        </w:tc>
        <w:tc>
          <w:tcPr>
            <w:tcW w:w="5812" w:type="dxa"/>
            <w:shd w:val="clear" w:color="auto" w:fill="auto"/>
            <w:noWrap/>
            <w:hideMark/>
          </w:tcPr>
          <w:p w14:paraId="4E485CAA" w14:textId="36070ADF" w:rsidR="005A0203" w:rsidRPr="00755383" w:rsidRDefault="005A0203" w:rsidP="00C56E3D">
            <w:pPr>
              <w:pStyle w:val="ListParagraph"/>
              <w:numPr>
                <w:ilvl w:val="0"/>
                <w:numId w:val="2"/>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Jakakolwiek </w:t>
            </w:r>
            <w:r w:rsidR="00E72F0D" w:rsidRPr="00755383">
              <w:rPr>
                <w:rFonts w:ascii="Calibri" w:eastAsia="Georgia" w:hAnsi="Calibri" w:cs="Calibri"/>
                <w:color w:val="000000"/>
                <w:sz w:val="14"/>
                <w:szCs w:val="14"/>
                <w:lang w:val="pl-PL"/>
              </w:rPr>
              <w:t>wycena</w:t>
            </w:r>
            <w:r w:rsidRPr="00755383">
              <w:rPr>
                <w:rFonts w:ascii="Calibri" w:eastAsia="Georgia" w:hAnsi="Calibri" w:cs="Calibri"/>
                <w:color w:val="000000"/>
                <w:sz w:val="14"/>
                <w:szCs w:val="14"/>
                <w:lang w:val="pl-PL"/>
              </w:rPr>
              <w:t xml:space="preserve"> za Usługi przedstawiona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nie stanowi </w:t>
            </w:r>
            <w:r w:rsidR="00E72F0D" w:rsidRPr="00755383">
              <w:rPr>
                <w:rFonts w:ascii="Calibri" w:eastAsia="Georgia" w:hAnsi="Calibri" w:cs="Calibri"/>
                <w:color w:val="000000"/>
                <w:sz w:val="14"/>
                <w:szCs w:val="14"/>
                <w:lang w:val="pl-PL"/>
              </w:rPr>
              <w:t xml:space="preserve">wiążącej </w:t>
            </w:r>
            <w:r w:rsidRPr="00755383">
              <w:rPr>
                <w:rFonts w:ascii="Calibri" w:eastAsia="Georgia" w:hAnsi="Calibri" w:cs="Calibri"/>
                <w:color w:val="000000"/>
                <w:sz w:val="14"/>
                <w:szCs w:val="14"/>
                <w:lang w:val="pl-PL"/>
              </w:rPr>
              <w:t xml:space="preserve">oferty </w:t>
            </w:r>
            <w:r w:rsidR="00E72F0D" w:rsidRPr="00755383">
              <w:rPr>
                <w:rFonts w:ascii="Calibri" w:eastAsia="Georgia" w:hAnsi="Calibri" w:cs="Calibri"/>
                <w:color w:val="000000"/>
                <w:sz w:val="14"/>
                <w:szCs w:val="14"/>
                <w:lang w:val="pl-PL"/>
              </w:rPr>
              <w:t>w rozumieniu przepisów</w:t>
            </w:r>
            <w:r w:rsidR="0023545D" w:rsidRPr="00755383">
              <w:rPr>
                <w:rFonts w:ascii="Calibri" w:eastAsia="Georgia" w:hAnsi="Calibri" w:cs="Calibri"/>
                <w:color w:val="000000"/>
                <w:sz w:val="14"/>
                <w:szCs w:val="14"/>
                <w:lang w:val="pl-PL"/>
              </w:rPr>
              <w:t xml:space="preserve"> prawa</w:t>
            </w:r>
            <w:r w:rsidRPr="00755383">
              <w:rPr>
                <w:rFonts w:ascii="Calibri" w:eastAsia="Georgia" w:hAnsi="Calibri" w:cs="Calibri"/>
                <w:color w:val="000000"/>
                <w:sz w:val="14"/>
                <w:szCs w:val="14"/>
                <w:lang w:val="pl-PL"/>
              </w:rPr>
              <w:t xml:space="preserve"> i jest </w:t>
            </w:r>
            <w:r w:rsidR="00E72F0D" w:rsidRPr="00755383">
              <w:rPr>
                <w:rFonts w:ascii="Calibri" w:eastAsia="Georgia" w:hAnsi="Calibri" w:cs="Calibri"/>
                <w:color w:val="000000"/>
                <w:sz w:val="14"/>
                <w:szCs w:val="14"/>
                <w:lang w:val="pl-PL"/>
              </w:rPr>
              <w:t xml:space="preserve">aktualna </w:t>
            </w:r>
            <w:r w:rsidRPr="00755383">
              <w:rPr>
                <w:rFonts w:ascii="Calibri" w:eastAsia="Georgia" w:hAnsi="Calibri" w:cs="Calibri"/>
                <w:color w:val="000000"/>
                <w:sz w:val="14"/>
                <w:szCs w:val="14"/>
                <w:lang w:val="pl-PL"/>
              </w:rPr>
              <w:t xml:space="preserve">tylko przez okres </w:t>
            </w:r>
            <w:r w:rsidR="00F87E1B" w:rsidRPr="00F87E1B">
              <w:rPr>
                <w:rFonts w:ascii="Calibri" w:eastAsia="Georgia" w:hAnsi="Calibri" w:cs="Calibri"/>
                <w:color w:val="000000"/>
                <w:sz w:val="14"/>
                <w:szCs w:val="14"/>
                <w:lang w:val="pl-PL"/>
              </w:rPr>
              <w:t xml:space="preserve">dwadzieścia </w:t>
            </w:r>
            <w:r w:rsidR="00F87E1B">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20</w:t>
            </w:r>
            <w:r w:rsidR="00F87E1B">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 dni roboczych od daty jej wystawienia.</w:t>
            </w:r>
          </w:p>
        </w:tc>
      </w:tr>
      <w:tr w:rsidR="006163B3" w:rsidRPr="00755383" w14:paraId="4A94771A" w14:textId="77777777" w:rsidTr="006C27F7">
        <w:trPr>
          <w:trHeight w:val="141"/>
        </w:trPr>
        <w:tc>
          <w:tcPr>
            <w:tcW w:w="5245" w:type="dxa"/>
            <w:shd w:val="clear" w:color="auto" w:fill="auto"/>
            <w:noWrap/>
            <w:hideMark/>
          </w:tcPr>
          <w:p w14:paraId="3131EA54"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2.                 Services</w:t>
            </w:r>
          </w:p>
        </w:tc>
        <w:tc>
          <w:tcPr>
            <w:tcW w:w="5812" w:type="dxa"/>
            <w:shd w:val="clear" w:color="auto" w:fill="auto"/>
            <w:noWrap/>
            <w:hideMark/>
          </w:tcPr>
          <w:p w14:paraId="62F776C6"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2.                 Usługi </w:t>
            </w:r>
          </w:p>
        </w:tc>
      </w:tr>
      <w:tr w:rsidR="006163B3" w:rsidRPr="00755383" w14:paraId="034CEAC4" w14:textId="77777777" w:rsidTr="006C27F7">
        <w:trPr>
          <w:trHeight w:val="558"/>
        </w:trPr>
        <w:tc>
          <w:tcPr>
            <w:tcW w:w="5245" w:type="dxa"/>
            <w:shd w:val="clear" w:color="auto" w:fill="auto"/>
            <w:noWrap/>
            <w:hideMark/>
          </w:tcPr>
          <w:p w14:paraId="064B86B3" w14:textId="1A7B425E"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shall provide the maintenance services substantially as described in the Service Agreement, if any, for the equipment identified in the Service Agreement ("</w:t>
            </w:r>
            <w:r w:rsidRPr="00755383">
              <w:rPr>
                <w:rFonts w:ascii="Calibri" w:eastAsia="Georgia" w:hAnsi="Calibri" w:cs="Calibri"/>
                <w:b/>
                <w:bCs/>
                <w:color w:val="000000"/>
                <w:sz w:val="14"/>
                <w:szCs w:val="14"/>
              </w:rPr>
              <w:t>Equipment</w:t>
            </w:r>
            <w:r w:rsidRPr="00755383">
              <w:rPr>
                <w:rFonts w:ascii="Calibri" w:eastAsia="Georgia" w:hAnsi="Calibri" w:cs="Calibri"/>
                <w:color w:val="000000"/>
                <w:sz w:val="14"/>
                <w:szCs w:val="14"/>
              </w:rPr>
              <w:t>"), repair services included in the Service Agreement, if any, for the Equipment if the Equipment fails to conform in all material respects to Videojet's specifications as set out in the relevant equipment manual, and any other services included in the Service Agreement (collectively, "</w:t>
            </w:r>
            <w:r w:rsidRPr="00755383">
              <w:rPr>
                <w:rFonts w:ascii="Calibri" w:eastAsia="Georgia" w:hAnsi="Calibri" w:cs="Calibri"/>
                <w:b/>
                <w:bCs/>
                <w:color w:val="000000"/>
                <w:sz w:val="14"/>
                <w:szCs w:val="14"/>
              </w:rPr>
              <w:t>Services</w:t>
            </w:r>
            <w:r w:rsidRPr="00755383">
              <w:rPr>
                <w:rFonts w:ascii="Calibri" w:eastAsia="Georgia" w:hAnsi="Calibri" w:cs="Calibri"/>
                <w:color w:val="000000"/>
                <w:sz w:val="14"/>
                <w:szCs w:val="14"/>
              </w:rPr>
              <w:t xml:space="preserve">").  </w:t>
            </w:r>
          </w:p>
          <w:p w14:paraId="3CA9ECDF" w14:textId="0DDA2F0C" w:rsidR="00FA3323" w:rsidRPr="00755383" w:rsidRDefault="00FA3323" w:rsidP="00FA3323">
            <w:pPr>
              <w:pStyle w:val="ListParagraph"/>
              <w:spacing w:after="0" w:line="240" w:lineRule="auto"/>
              <w:ind w:left="592" w:hanging="567"/>
              <w:jc w:val="both"/>
              <w:rPr>
                <w:rFonts w:ascii="Calibri" w:eastAsia="Times New Roman" w:hAnsi="Calibri" w:cs="Calibri"/>
                <w:color w:val="000000"/>
                <w:sz w:val="14"/>
                <w:szCs w:val="14"/>
              </w:rPr>
            </w:pPr>
          </w:p>
        </w:tc>
        <w:tc>
          <w:tcPr>
            <w:tcW w:w="5812" w:type="dxa"/>
            <w:shd w:val="clear" w:color="auto" w:fill="auto"/>
            <w:noWrap/>
            <w:hideMark/>
          </w:tcPr>
          <w:p w14:paraId="396E3931" w14:textId="5494E3CB"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będzie świadczyć usługi konserwacyjne zgodnie z </w:t>
            </w:r>
            <w:r w:rsidR="0023545D" w:rsidRPr="00755383">
              <w:rPr>
                <w:rFonts w:ascii="Calibri" w:eastAsia="Georgia" w:hAnsi="Calibri" w:cs="Calibri"/>
                <w:color w:val="000000"/>
                <w:sz w:val="14"/>
                <w:szCs w:val="14"/>
                <w:lang w:val="pl-PL"/>
              </w:rPr>
              <w:t xml:space="preserve">ich </w:t>
            </w:r>
            <w:r w:rsidRPr="00755383">
              <w:rPr>
                <w:rFonts w:ascii="Calibri" w:eastAsia="Georgia" w:hAnsi="Calibri" w:cs="Calibri"/>
                <w:color w:val="000000"/>
                <w:sz w:val="14"/>
                <w:szCs w:val="14"/>
                <w:lang w:val="pl-PL"/>
              </w:rPr>
              <w:t xml:space="preserve">opisem w Umowie o Świadczeniu Usług,  w odniesieniu do </w:t>
            </w:r>
            <w:proofErr w:type="spellStart"/>
            <w:r w:rsidRPr="00755383">
              <w:rPr>
                <w:rFonts w:ascii="Calibri" w:eastAsia="Georgia" w:hAnsi="Calibri" w:cs="Calibri"/>
                <w:color w:val="000000"/>
                <w:sz w:val="14"/>
                <w:szCs w:val="14"/>
                <w:lang w:val="pl-PL"/>
              </w:rPr>
              <w:t>sprzȩtu</w:t>
            </w:r>
            <w:proofErr w:type="spellEnd"/>
            <w:r w:rsidRPr="00755383">
              <w:rPr>
                <w:rFonts w:ascii="Calibri" w:eastAsia="Georgia" w:hAnsi="Calibri" w:cs="Calibri"/>
                <w:color w:val="000000"/>
                <w:sz w:val="14"/>
                <w:szCs w:val="14"/>
                <w:lang w:val="pl-PL"/>
              </w:rPr>
              <w:t xml:space="preserve"> określonego w Umowie o Świadczeniu Usług („</w:t>
            </w:r>
            <w:proofErr w:type="spellStart"/>
            <w:r w:rsidRPr="00755383">
              <w:rPr>
                <w:rFonts w:ascii="Calibri" w:eastAsia="Georgia" w:hAnsi="Calibri" w:cs="Calibri"/>
                <w:b/>
                <w:bCs/>
                <w:color w:val="000000"/>
                <w:sz w:val="14"/>
                <w:szCs w:val="14"/>
                <w:lang w:val="pl-PL"/>
              </w:rPr>
              <w:t>Sprzȩt</w:t>
            </w:r>
            <w:proofErr w:type="spellEnd"/>
            <w:r w:rsidRPr="00755383">
              <w:rPr>
                <w:rFonts w:ascii="Calibri" w:eastAsia="Georgia" w:hAnsi="Calibri" w:cs="Calibri"/>
                <w:color w:val="000000"/>
                <w:sz w:val="14"/>
                <w:szCs w:val="14"/>
                <w:lang w:val="pl-PL"/>
              </w:rPr>
              <w:t xml:space="preserve">”), a także usługi naprawcze </w:t>
            </w:r>
            <w:proofErr w:type="spellStart"/>
            <w:r w:rsidRPr="00755383">
              <w:rPr>
                <w:rFonts w:ascii="Calibri" w:eastAsia="Georgia" w:hAnsi="Calibri" w:cs="Calibri"/>
                <w:color w:val="000000"/>
                <w:sz w:val="14"/>
                <w:szCs w:val="14"/>
                <w:lang w:val="pl-PL"/>
              </w:rPr>
              <w:t>objȩte</w:t>
            </w:r>
            <w:proofErr w:type="spellEnd"/>
            <w:r w:rsidRPr="00755383">
              <w:rPr>
                <w:rFonts w:ascii="Calibri" w:eastAsia="Georgia" w:hAnsi="Calibri" w:cs="Calibri"/>
                <w:color w:val="000000"/>
                <w:sz w:val="14"/>
                <w:szCs w:val="14"/>
                <w:lang w:val="pl-PL"/>
              </w:rPr>
              <w:t xml:space="preserve"> Umową o Świadczeniu Usług,</w:t>
            </w:r>
            <w:r w:rsidR="000E2E2D" w:rsidRPr="00755383" w:rsidDel="000E2E2D">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 dotyczące Sprzętu, jeśli </w:t>
            </w:r>
            <w:proofErr w:type="spellStart"/>
            <w:r w:rsidRPr="00755383">
              <w:rPr>
                <w:rFonts w:ascii="Calibri" w:eastAsia="Georgia" w:hAnsi="Calibri" w:cs="Calibri"/>
                <w:color w:val="000000"/>
                <w:sz w:val="14"/>
                <w:szCs w:val="14"/>
                <w:lang w:val="pl-PL"/>
              </w:rPr>
              <w:t>Sprzȩt</w:t>
            </w:r>
            <w:proofErr w:type="spellEnd"/>
            <w:r w:rsidRPr="00755383">
              <w:rPr>
                <w:rFonts w:ascii="Calibri" w:eastAsia="Georgia" w:hAnsi="Calibri" w:cs="Calibri"/>
                <w:color w:val="000000"/>
                <w:sz w:val="14"/>
                <w:szCs w:val="14"/>
                <w:lang w:val="pl-PL"/>
              </w:rPr>
              <w:t xml:space="preserve"> nie jest zgodny we wszystkich istotnych aspektach ze specyfikacjami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określonymi w odpowiedniej instrukcji obsługi sprzętu oraz z innymi usługami zawartymi w Umowie o Świadczeniu Usług (łącznie zwanymi „</w:t>
            </w:r>
            <w:r w:rsidRPr="00755383">
              <w:rPr>
                <w:rFonts w:ascii="Calibri" w:eastAsia="Georgia" w:hAnsi="Calibri" w:cs="Calibri"/>
                <w:b/>
                <w:bCs/>
                <w:color w:val="000000"/>
                <w:sz w:val="14"/>
                <w:szCs w:val="14"/>
                <w:lang w:val="pl-PL"/>
              </w:rPr>
              <w:t>Usługami</w:t>
            </w:r>
            <w:r w:rsidRPr="00755383">
              <w:rPr>
                <w:rFonts w:ascii="Calibri" w:eastAsia="Georgia" w:hAnsi="Calibri" w:cs="Calibri"/>
                <w:color w:val="000000"/>
                <w:sz w:val="14"/>
                <w:szCs w:val="14"/>
                <w:lang w:val="pl-PL"/>
              </w:rPr>
              <w:t xml:space="preserve">”).  </w:t>
            </w:r>
          </w:p>
          <w:p w14:paraId="5DF10B57" w14:textId="5F3CC569" w:rsidR="00152DC6" w:rsidRPr="00755383" w:rsidRDefault="00152DC6" w:rsidP="00152DC6">
            <w:pPr>
              <w:pStyle w:val="ListParagraph"/>
              <w:spacing w:after="0" w:line="240" w:lineRule="auto"/>
              <w:jc w:val="both"/>
              <w:rPr>
                <w:rFonts w:ascii="Calibri" w:eastAsia="Times New Roman" w:hAnsi="Calibri" w:cs="Calibri"/>
                <w:color w:val="000000"/>
                <w:sz w:val="14"/>
                <w:szCs w:val="14"/>
                <w:lang w:val="pl-PL"/>
              </w:rPr>
            </w:pPr>
          </w:p>
        </w:tc>
      </w:tr>
      <w:tr w:rsidR="006163B3" w:rsidRPr="00755383" w14:paraId="61A39556" w14:textId="77777777" w:rsidTr="006C27F7">
        <w:trPr>
          <w:trHeight w:val="223"/>
        </w:trPr>
        <w:tc>
          <w:tcPr>
            <w:tcW w:w="5245" w:type="dxa"/>
            <w:shd w:val="clear" w:color="auto" w:fill="auto"/>
            <w:noWrap/>
            <w:hideMark/>
          </w:tcPr>
          <w:p w14:paraId="38D712BB" w14:textId="1EE3102F"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reserves the right to make any changes to the Services that are necessary to comply with any applicable law, regulatory requirement or safety requirement, or that do not materially affect the nature or quality of the Services, and Videojet shall notify the Customer in any such event.</w:t>
            </w:r>
          </w:p>
        </w:tc>
        <w:tc>
          <w:tcPr>
            <w:tcW w:w="5812" w:type="dxa"/>
            <w:shd w:val="clear" w:color="auto" w:fill="auto"/>
            <w:noWrap/>
            <w:hideMark/>
          </w:tcPr>
          <w:p w14:paraId="2DF66C40" w14:textId="5C16A83E"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zastrzega sobie prawo do wprowadzania zmian w Usługach, które są niezbędne do zapewnienia zgodności z obowiązującym prawem, wymogami regulacyjnymi lub wymogami bezpieczeństwa, lub które nie mają istotnego wpływu na charakter lub jakość Usług</w:t>
            </w:r>
            <w:r w:rsidR="00E72F0D"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powiadomi Klienta w każdym takim przypadku.</w:t>
            </w:r>
          </w:p>
        </w:tc>
      </w:tr>
      <w:tr w:rsidR="006163B3" w:rsidRPr="00755383" w14:paraId="460F44C6" w14:textId="77777777" w:rsidTr="006C27F7">
        <w:trPr>
          <w:trHeight w:val="713"/>
        </w:trPr>
        <w:tc>
          <w:tcPr>
            <w:tcW w:w="5245" w:type="dxa"/>
            <w:shd w:val="clear" w:color="auto" w:fill="auto"/>
            <w:noWrap/>
            <w:hideMark/>
          </w:tcPr>
          <w:p w14:paraId="5BA4E606" w14:textId="338D9012"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All intellectual property rights in or arising out of or in connection with the Services shall vest in and be owned by Videojet and no licence or transfer of such intellectual property right shall occur except as expressly provided for in this Services Agreement.</w:t>
            </w:r>
          </w:p>
        </w:tc>
        <w:tc>
          <w:tcPr>
            <w:tcW w:w="5812" w:type="dxa"/>
            <w:shd w:val="clear" w:color="auto" w:fill="auto"/>
            <w:noWrap/>
            <w:hideMark/>
          </w:tcPr>
          <w:p w14:paraId="60194F97" w14:textId="1E8E7816"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Wszelkie prawa własności intelektualnej wynikające z Usług lub </w:t>
            </w:r>
            <w:r w:rsidR="005560EE" w:rsidRPr="00755383">
              <w:rPr>
                <w:rFonts w:ascii="Calibri" w:eastAsia="Georgia" w:hAnsi="Calibri" w:cs="Calibri"/>
                <w:color w:val="000000"/>
                <w:sz w:val="14"/>
                <w:szCs w:val="14"/>
                <w:lang w:val="pl-PL"/>
              </w:rPr>
              <w:t xml:space="preserve">pozostające w </w:t>
            </w:r>
            <w:r w:rsidRPr="00755383">
              <w:rPr>
                <w:rFonts w:ascii="Calibri" w:eastAsia="Georgia" w:hAnsi="Calibri" w:cs="Calibri"/>
                <w:color w:val="000000"/>
                <w:sz w:val="14"/>
                <w:szCs w:val="14"/>
                <w:lang w:val="pl-PL"/>
              </w:rPr>
              <w:t xml:space="preserve">związku z nimi będą przysługiwały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i będą jej własnością, a żadna licencja ani przeniesienie takich praw własności intelektualnej nie będzie miało miejsca, z wyjątkiem przypadków wyraźnie określonych w niniejszej Umowie o Świadczeniu Usług.</w:t>
            </w:r>
          </w:p>
        </w:tc>
      </w:tr>
      <w:tr w:rsidR="006163B3" w:rsidRPr="00755383" w14:paraId="09B2AE88" w14:textId="77777777" w:rsidTr="006C27F7">
        <w:trPr>
          <w:trHeight w:val="416"/>
        </w:trPr>
        <w:tc>
          <w:tcPr>
            <w:tcW w:w="5245" w:type="dxa"/>
            <w:shd w:val="clear" w:color="auto" w:fill="auto"/>
            <w:noWrap/>
            <w:hideMark/>
          </w:tcPr>
          <w:p w14:paraId="52CE2F81" w14:textId="58DCD1F6"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Any replacement parts provided pursuant to the Service Agreement will be new or equivalent in performance to new parts, at no extra charge to the Customer. Parts being replaced will be the property of Videojet. The Customer acknowledges certain parts may be subject to discontinuance by the manufacturer, in which event Videojet's obligation shall be limited to it making reasonable endeavours to replace such discontinued parts with a materially equivalent part.</w:t>
            </w:r>
          </w:p>
        </w:tc>
        <w:tc>
          <w:tcPr>
            <w:tcW w:w="5812" w:type="dxa"/>
            <w:shd w:val="clear" w:color="auto" w:fill="auto"/>
            <w:noWrap/>
            <w:hideMark/>
          </w:tcPr>
          <w:p w14:paraId="4B013DF5" w14:textId="753A2B43"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Wszelkie </w:t>
            </w:r>
            <w:proofErr w:type="spellStart"/>
            <w:r w:rsidRPr="00755383">
              <w:rPr>
                <w:rFonts w:ascii="Calibri" w:eastAsia="Georgia" w:hAnsi="Calibri" w:cs="Calibri"/>
                <w:color w:val="000000"/>
                <w:sz w:val="14"/>
                <w:szCs w:val="14"/>
                <w:lang w:val="pl-PL"/>
              </w:rPr>
              <w:t>czȩści</w:t>
            </w:r>
            <w:proofErr w:type="spellEnd"/>
            <w:r w:rsidRPr="00755383">
              <w:rPr>
                <w:rFonts w:ascii="Calibri" w:eastAsia="Georgia" w:hAnsi="Calibri" w:cs="Calibri"/>
                <w:color w:val="000000"/>
                <w:sz w:val="14"/>
                <w:szCs w:val="14"/>
                <w:lang w:val="pl-PL"/>
              </w:rPr>
              <w:t xml:space="preserve"> zamienne dostarczone zgodnie z Umową o Świadczeniu Usług </w:t>
            </w:r>
            <w:proofErr w:type="spellStart"/>
            <w:r w:rsidRPr="00755383">
              <w:rPr>
                <w:rFonts w:ascii="Calibri" w:eastAsia="Georgia" w:hAnsi="Calibri" w:cs="Calibri"/>
                <w:color w:val="000000"/>
                <w:sz w:val="14"/>
                <w:szCs w:val="14"/>
                <w:lang w:val="pl-PL"/>
              </w:rPr>
              <w:t>bȩdą</w:t>
            </w:r>
            <w:proofErr w:type="spellEnd"/>
            <w:r w:rsidRPr="00755383">
              <w:rPr>
                <w:rFonts w:ascii="Calibri" w:eastAsia="Georgia" w:hAnsi="Calibri" w:cs="Calibri"/>
                <w:color w:val="000000"/>
                <w:sz w:val="14"/>
                <w:szCs w:val="14"/>
                <w:lang w:val="pl-PL"/>
              </w:rPr>
              <w:t xml:space="preserve"> nowe lub równoważne pod względem działania z nowymi częściami, bez dodatkowych opłat dla Klienta. </w:t>
            </w:r>
            <w:proofErr w:type="spellStart"/>
            <w:r w:rsidRPr="00755383">
              <w:rPr>
                <w:rFonts w:ascii="Calibri" w:eastAsia="Georgia" w:hAnsi="Calibri" w:cs="Calibri"/>
                <w:color w:val="000000"/>
                <w:sz w:val="14"/>
                <w:szCs w:val="14"/>
                <w:lang w:val="pl-PL"/>
              </w:rPr>
              <w:t>Czȩści</w:t>
            </w:r>
            <w:proofErr w:type="spellEnd"/>
            <w:r w:rsidRPr="00755383">
              <w:rPr>
                <w:rFonts w:ascii="Calibri" w:eastAsia="Georgia" w:hAnsi="Calibri" w:cs="Calibri"/>
                <w:color w:val="000000"/>
                <w:sz w:val="14"/>
                <w:szCs w:val="14"/>
                <w:lang w:val="pl-PL"/>
              </w:rPr>
              <w:t xml:space="preserve"> wymieniane będą własnością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Klient przyjmuje do wiadomości, że niektóre części mogą zostać wycofane przez producenta, w którym to przypadku zobowiązanie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bȩdzie</w:t>
            </w:r>
            <w:proofErr w:type="spellEnd"/>
            <w:r w:rsidRPr="00755383">
              <w:rPr>
                <w:rFonts w:ascii="Calibri" w:eastAsia="Georgia" w:hAnsi="Calibri" w:cs="Calibri"/>
                <w:color w:val="000000"/>
                <w:sz w:val="14"/>
                <w:szCs w:val="14"/>
                <w:lang w:val="pl-PL"/>
              </w:rPr>
              <w:t xml:space="preserve"> ograniczone do podjęcia możliwych starań w celu zastąpienia takich wycofanych części częściami o równoważnym działaniu.</w:t>
            </w:r>
          </w:p>
        </w:tc>
      </w:tr>
      <w:tr w:rsidR="006163B3" w:rsidRPr="00755383" w14:paraId="02E04E35" w14:textId="77777777" w:rsidTr="006C27F7">
        <w:trPr>
          <w:trHeight w:val="230"/>
        </w:trPr>
        <w:tc>
          <w:tcPr>
            <w:tcW w:w="5245" w:type="dxa"/>
            <w:shd w:val="clear" w:color="auto" w:fill="auto"/>
            <w:noWrap/>
            <w:hideMark/>
          </w:tcPr>
          <w:p w14:paraId="26DE58AC" w14:textId="2A6FB8E3"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shall use reasonable endeavours to provide Services during Videojet's standard local business hours, which excludes weekends and Videojet holidays.</w:t>
            </w:r>
          </w:p>
        </w:tc>
        <w:tc>
          <w:tcPr>
            <w:tcW w:w="5812" w:type="dxa"/>
            <w:shd w:val="clear" w:color="auto" w:fill="auto"/>
            <w:noWrap/>
            <w:hideMark/>
          </w:tcPr>
          <w:p w14:paraId="3AFC79FA" w14:textId="7091FDCA"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dołoży uzasadnionych starań, aby świadczyć Usług w standardowych lokalnych godzinach pracy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z wyłączeniem weekendów i dni wolnych od pracy w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w:t>
            </w:r>
          </w:p>
        </w:tc>
      </w:tr>
      <w:tr w:rsidR="006163B3" w:rsidRPr="00755383" w14:paraId="69416E04" w14:textId="77777777" w:rsidTr="006C27F7">
        <w:trPr>
          <w:trHeight w:val="462"/>
        </w:trPr>
        <w:tc>
          <w:tcPr>
            <w:tcW w:w="5245" w:type="dxa"/>
            <w:shd w:val="clear" w:color="auto" w:fill="auto"/>
            <w:noWrap/>
            <w:hideMark/>
          </w:tcPr>
          <w:p w14:paraId="7224E752" w14:textId="1B14B33C"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will use reasonable endeavours to meet any performance dates specified in the Service Agreement, but any such dates shall be estimates only and time shall not be of the essence for performance of the Services.</w:t>
            </w:r>
          </w:p>
        </w:tc>
        <w:tc>
          <w:tcPr>
            <w:tcW w:w="5812" w:type="dxa"/>
            <w:shd w:val="clear" w:color="auto" w:fill="auto"/>
            <w:noWrap/>
            <w:hideMark/>
          </w:tcPr>
          <w:p w14:paraId="0CCB2B1B" w14:textId="537F2271"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dołoży uzasadnionych starań, aby dotrzymywać terminów wykonywania usług określonych w Umowie o Świadczeniu Usług, ale wszelkie takie daty mają charakter wyłącznie szacunkowy, a czas nie jest </w:t>
            </w:r>
            <w:r w:rsidR="005560EE" w:rsidRPr="00755383">
              <w:rPr>
                <w:rFonts w:ascii="Calibri" w:eastAsia="Georgia" w:hAnsi="Calibri" w:cs="Calibri"/>
                <w:color w:val="000000"/>
                <w:sz w:val="14"/>
                <w:szCs w:val="14"/>
                <w:lang w:val="pl-PL"/>
              </w:rPr>
              <w:t>kluczowy</w:t>
            </w:r>
            <w:r w:rsidR="00882BE2" w:rsidRPr="00755383">
              <w:rPr>
                <w:rFonts w:ascii="Calibri" w:eastAsia="Georgia" w:hAnsi="Calibri" w:cs="Calibri"/>
                <w:color w:val="000000"/>
                <w:sz w:val="14"/>
                <w:szCs w:val="14"/>
                <w:lang w:val="pl-PL"/>
              </w:rPr>
              <w:t>m elementem</w:t>
            </w:r>
            <w:r w:rsidR="005560EE"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dla świadczenia Usług. </w:t>
            </w:r>
          </w:p>
        </w:tc>
      </w:tr>
      <w:tr w:rsidR="006163B3" w:rsidRPr="00755383" w14:paraId="4CE1E59B" w14:textId="77777777" w:rsidTr="006C27F7">
        <w:trPr>
          <w:trHeight w:val="368"/>
        </w:trPr>
        <w:tc>
          <w:tcPr>
            <w:tcW w:w="5245" w:type="dxa"/>
            <w:shd w:val="clear" w:color="auto" w:fill="auto"/>
            <w:noWrap/>
            <w:hideMark/>
          </w:tcPr>
          <w:p w14:paraId="0E268D09" w14:textId="042CC550"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will provide Services on the Customer's premises unless it is necessary to remove Equipment for Service, or a portion thereof, to the Videojet's repair depot for maintenance.</w:t>
            </w:r>
          </w:p>
        </w:tc>
        <w:tc>
          <w:tcPr>
            <w:tcW w:w="5812" w:type="dxa"/>
            <w:shd w:val="clear" w:color="auto" w:fill="auto"/>
            <w:noWrap/>
            <w:hideMark/>
          </w:tcPr>
          <w:p w14:paraId="77FD563A" w14:textId="28527A32"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bȩdzie</w:t>
            </w:r>
            <w:proofErr w:type="spellEnd"/>
            <w:r w:rsidRPr="00755383">
              <w:rPr>
                <w:rFonts w:ascii="Calibri" w:eastAsia="Georgia" w:hAnsi="Calibri" w:cs="Calibri"/>
                <w:color w:val="000000"/>
                <w:sz w:val="14"/>
                <w:szCs w:val="14"/>
                <w:lang w:val="pl-PL"/>
              </w:rPr>
              <w:t xml:space="preserve"> świadczyć Usługi w lokalu Klienta, chyba że konieczne będzie zabranie Sprzętu do naprawy lub jego części do ośrodka naprawczego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 celu konserwacji.</w:t>
            </w:r>
          </w:p>
        </w:tc>
      </w:tr>
      <w:tr w:rsidR="006163B3" w:rsidRPr="00755383" w14:paraId="0B500198" w14:textId="77777777" w:rsidTr="006C27F7">
        <w:trPr>
          <w:trHeight w:val="97"/>
        </w:trPr>
        <w:tc>
          <w:tcPr>
            <w:tcW w:w="5245" w:type="dxa"/>
            <w:shd w:val="clear" w:color="auto" w:fill="auto"/>
            <w:noWrap/>
            <w:hideMark/>
          </w:tcPr>
          <w:p w14:paraId="113252F0" w14:textId="6F12E2CF"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warrants to the Customer that the Services will be provided using reasonable care and skill.</w:t>
            </w:r>
          </w:p>
        </w:tc>
        <w:tc>
          <w:tcPr>
            <w:tcW w:w="5812" w:type="dxa"/>
            <w:shd w:val="clear" w:color="auto" w:fill="auto"/>
            <w:noWrap/>
            <w:hideMark/>
          </w:tcPr>
          <w:p w14:paraId="52A47CAE" w14:textId="7F26A9B3"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gwarantuje Klientowi, że Usługi będą świadczone z należytą starannością i umiejętnościami. </w:t>
            </w:r>
          </w:p>
        </w:tc>
      </w:tr>
      <w:tr w:rsidR="006163B3" w:rsidRPr="00755383" w14:paraId="6301F7F8" w14:textId="77777777" w:rsidTr="006C27F7">
        <w:trPr>
          <w:trHeight w:val="274"/>
        </w:trPr>
        <w:tc>
          <w:tcPr>
            <w:tcW w:w="5245" w:type="dxa"/>
            <w:shd w:val="clear" w:color="auto" w:fill="auto"/>
            <w:noWrap/>
            <w:hideMark/>
          </w:tcPr>
          <w:p w14:paraId="1759EAA7" w14:textId="42940840"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 Customer will incur and pay charges in accordance with the charges and payment provisions set out in the relevant Videojet quotation as agreed with the Customer. For the sake of certainty, the following services are not included in the Service Agreement and the Customer shall be charged separately for any such service, unless otherwise expressly provided in the relevant accepted Videojet quotation:</w:t>
            </w:r>
          </w:p>
        </w:tc>
        <w:tc>
          <w:tcPr>
            <w:tcW w:w="5812" w:type="dxa"/>
            <w:shd w:val="clear" w:color="auto" w:fill="auto"/>
            <w:noWrap/>
            <w:hideMark/>
          </w:tcPr>
          <w:p w14:paraId="6F8BD89D" w14:textId="79600805" w:rsidR="005A0203" w:rsidRPr="00755383" w:rsidRDefault="005A0203" w:rsidP="00152DC6">
            <w:pPr>
              <w:pStyle w:val="ListParagraph"/>
              <w:numPr>
                <w:ilvl w:val="0"/>
                <w:numId w:val="7"/>
              </w:numPr>
              <w:spacing w:after="0" w:line="240" w:lineRule="auto"/>
              <w:ind w:left="463" w:hanging="463"/>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Klient uiści opłaty zgodnie z postanowieniami dotyczącymi opłat i płatności określony</w:t>
            </w:r>
            <w:r w:rsidR="00FF084E" w:rsidRPr="00755383">
              <w:rPr>
                <w:rFonts w:ascii="Calibri" w:eastAsia="Georgia" w:hAnsi="Calibri" w:cs="Calibri"/>
                <w:color w:val="000000"/>
                <w:sz w:val="14"/>
                <w:szCs w:val="14"/>
                <w:lang w:val="pl-PL"/>
              </w:rPr>
              <w:t>mi</w:t>
            </w:r>
            <w:r w:rsidRPr="00755383">
              <w:rPr>
                <w:rFonts w:ascii="Calibri" w:eastAsia="Georgia" w:hAnsi="Calibri" w:cs="Calibri"/>
                <w:color w:val="000000"/>
                <w:sz w:val="14"/>
                <w:szCs w:val="14"/>
                <w:lang w:val="pl-PL"/>
              </w:rPr>
              <w:t xml:space="preserve"> w odpowiedniej </w:t>
            </w:r>
            <w:r w:rsidR="005560EE" w:rsidRPr="00755383">
              <w:rPr>
                <w:rFonts w:ascii="Calibri" w:eastAsia="Georgia" w:hAnsi="Calibri" w:cs="Calibri"/>
                <w:color w:val="000000"/>
                <w:sz w:val="14"/>
                <w:szCs w:val="14"/>
                <w:lang w:val="pl-PL"/>
              </w:rPr>
              <w:t>wycenie</w:t>
            </w:r>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uzgodnionej z Klientem. Dla </w:t>
            </w:r>
            <w:proofErr w:type="spellStart"/>
            <w:r w:rsidRPr="00755383">
              <w:rPr>
                <w:rFonts w:ascii="Calibri" w:eastAsia="Georgia" w:hAnsi="Calibri" w:cs="Calibri"/>
                <w:color w:val="000000"/>
                <w:sz w:val="14"/>
                <w:szCs w:val="14"/>
                <w:lang w:val="pl-PL"/>
              </w:rPr>
              <w:t>unikniȩcia</w:t>
            </w:r>
            <w:proofErr w:type="spellEnd"/>
            <w:r w:rsidRPr="00755383">
              <w:rPr>
                <w:rFonts w:ascii="Calibri" w:eastAsia="Georgia" w:hAnsi="Calibri" w:cs="Calibri"/>
                <w:color w:val="000000"/>
                <w:sz w:val="14"/>
                <w:szCs w:val="14"/>
                <w:lang w:val="pl-PL"/>
              </w:rPr>
              <w:t xml:space="preserve"> wątpliwości, </w:t>
            </w:r>
            <w:r w:rsidR="000E6E13" w:rsidRPr="00755383">
              <w:rPr>
                <w:rFonts w:ascii="Calibri" w:eastAsia="Georgia" w:hAnsi="Calibri" w:cs="Calibri"/>
                <w:color w:val="000000"/>
                <w:sz w:val="14"/>
                <w:szCs w:val="14"/>
                <w:lang w:val="pl-PL"/>
              </w:rPr>
              <w:t xml:space="preserve">następujące </w:t>
            </w:r>
            <w:r w:rsidRPr="00755383">
              <w:rPr>
                <w:rFonts w:ascii="Calibri" w:eastAsia="Georgia" w:hAnsi="Calibri" w:cs="Calibri"/>
                <w:color w:val="000000"/>
                <w:sz w:val="14"/>
                <w:szCs w:val="14"/>
                <w:lang w:val="pl-PL"/>
              </w:rPr>
              <w:t xml:space="preserve">Usługi nie są </w:t>
            </w:r>
            <w:proofErr w:type="spellStart"/>
            <w:r w:rsidRPr="00755383">
              <w:rPr>
                <w:rFonts w:ascii="Calibri" w:eastAsia="Georgia" w:hAnsi="Calibri" w:cs="Calibri"/>
                <w:color w:val="000000"/>
                <w:sz w:val="14"/>
                <w:szCs w:val="14"/>
                <w:lang w:val="pl-PL"/>
              </w:rPr>
              <w:t>objȩte</w:t>
            </w:r>
            <w:proofErr w:type="spellEnd"/>
            <w:r w:rsidRPr="00755383">
              <w:rPr>
                <w:rFonts w:ascii="Calibri" w:eastAsia="Georgia" w:hAnsi="Calibri" w:cs="Calibri"/>
                <w:color w:val="000000"/>
                <w:sz w:val="14"/>
                <w:szCs w:val="14"/>
                <w:lang w:val="pl-PL"/>
              </w:rPr>
              <w:t xml:space="preserve"> Umową o Świadczeniu Usług, a Klient zostanie obciążony osobną opłatą za każdą taką </w:t>
            </w:r>
            <w:proofErr w:type="spellStart"/>
            <w:r w:rsidRPr="00755383">
              <w:rPr>
                <w:rFonts w:ascii="Calibri" w:eastAsia="Georgia" w:hAnsi="Calibri" w:cs="Calibri"/>
                <w:color w:val="000000"/>
                <w:sz w:val="14"/>
                <w:szCs w:val="14"/>
                <w:lang w:val="pl-PL"/>
              </w:rPr>
              <w:t>usługȩ</w:t>
            </w:r>
            <w:proofErr w:type="spellEnd"/>
            <w:r w:rsidRPr="00755383">
              <w:rPr>
                <w:rFonts w:ascii="Calibri" w:eastAsia="Georgia" w:hAnsi="Calibri" w:cs="Calibri"/>
                <w:color w:val="000000"/>
                <w:sz w:val="14"/>
                <w:szCs w:val="14"/>
                <w:lang w:val="pl-PL"/>
              </w:rPr>
              <w:t xml:space="preserve">, chyba że w odpowiedniej i zaakceptowanej </w:t>
            </w:r>
            <w:r w:rsidR="00DB0D4D" w:rsidRPr="00755383">
              <w:rPr>
                <w:rFonts w:ascii="Calibri" w:eastAsia="Georgia" w:hAnsi="Calibri" w:cs="Calibri"/>
                <w:color w:val="000000"/>
                <w:sz w:val="14"/>
                <w:szCs w:val="14"/>
                <w:lang w:val="pl-PL"/>
              </w:rPr>
              <w:t>wycenie</w:t>
            </w:r>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wyraźnie określono inaczej: </w:t>
            </w:r>
          </w:p>
        </w:tc>
      </w:tr>
      <w:tr w:rsidR="006163B3" w:rsidRPr="00755383" w14:paraId="2C884FE8" w14:textId="77777777" w:rsidTr="006C27F7">
        <w:trPr>
          <w:trHeight w:val="97"/>
        </w:trPr>
        <w:tc>
          <w:tcPr>
            <w:tcW w:w="5245" w:type="dxa"/>
            <w:shd w:val="clear" w:color="auto" w:fill="auto"/>
            <w:noWrap/>
            <w:hideMark/>
          </w:tcPr>
          <w:p w14:paraId="513D9536" w14:textId="42922C62" w:rsidR="005A0203" w:rsidRPr="00755383" w:rsidRDefault="005A0203" w:rsidP="00B13C6F">
            <w:pPr>
              <w:pStyle w:val="ListParagraph"/>
              <w:numPr>
                <w:ilvl w:val="0"/>
                <w:numId w:val="4"/>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maintenance of accessories or attachments;</w:t>
            </w:r>
          </w:p>
          <w:p w14:paraId="5D92C586" w14:textId="696E8DAA" w:rsidR="00B13C6F" w:rsidRPr="00755383" w:rsidRDefault="00B13C6F" w:rsidP="00B13C6F">
            <w:pPr>
              <w:pStyle w:val="ListParagraph"/>
              <w:spacing w:after="0" w:line="240" w:lineRule="auto"/>
              <w:ind w:left="1312"/>
              <w:jc w:val="both"/>
              <w:rPr>
                <w:rFonts w:ascii="Calibri" w:eastAsia="Georgia" w:hAnsi="Calibri" w:cs="Calibri"/>
                <w:color w:val="000000"/>
                <w:sz w:val="14"/>
                <w:szCs w:val="14"/>
              </w:rPr>
            </w:pPr>
          </w:p>
        </w:tc>
        <w:tc>
          <w:tcPr>
            <w:tcW w:w="5812" w:type="dxa"/>
            <w:shd w:val="clear" w:color="auto" w:fill="auto"/>
            <w:noWrap/>
            <w:hideMark/>
          </w:tcPr>
          <w:p w14:paraId="62B09D1D" w14:textId="078EFE91" w:rsidR="00152DC6" w:rsidRPr="00755383" w:rsidRDefault="005A0203" w:rsidP="00152DC6">
            <w:pPr>
              <w:pStyle w:val="ListParagraph"/>
              <w:numPr>
                <w:ilvl w:val="0"/>
                <w:numId w:val="8"/>
              </w:numPr>
              <w:spacing w:after="0" w:line="240" w:lineRule="auto"/>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konserwacja akcesoriów lub dodatków; </w:t>
            </w:r>
          </w:p>
        </w:tc>
      </w:tr>
      <w:tr w:rsidR="006163B3" w:rsidRPr="00755383" w14:paraId="1B073C09" w14:textId="77777777" w:rsidTr="006C27F7">
        <w:trPr>
          <w:trHeight w:val="97"/>
        </w:trPr>
        <w:tc>
          <w:tcPr>
            <w:tcW w:w="5245" w:type="dxa"/>
            <w:shd w:val="clear" w:color="auto" w:fill="auto"/>
            <w:noWrap/>
            <w:hideMark/>
          </w:tcPr>
          <w:p w14:paraId="046E401E" w14:textId="6C59271B" w:rsidR="00B13C6F" w:rsidRPr="00755383" w:rsidRDefault="005A0203" w:rsidP="00B13C6F">
            <w:pPr>
              <w:pStyle w:val="ListParagraph"/>
              <w:numPr>
                <w:ilvl w:val="0"/>
                <w:numId w:val="4"/>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maintenance of Equipment if the Customer’s modification of Equipment has materially increased cost of maintenance;</w:t>
            </w:r>
          </w:p>
        </w:tc>
        <w:tc>
          <w:tcPr>
            <w:tcW w:w="5812" w:type="dxa"/>
            <w:shd w:val="clear" w:color="auto" w:fill="auto"/>
            <w:noWrap/>
            <w:hideMark/>
          </w:tcPr>
          <w:p w14:paraId="149E614B" w14:textId="13C8B068" w:rsidR="005A0203" w:rsidRPr="00755383" w:rsidRDefault="005A0203" w:rsidP="00152DC6">
            <w:pPr>
              <w:pStyle w:val="ListParagraph"/>
              <w:numPr>
                <w:ilvl w:val="0"/>
                <w:numId w:val="8"/>
              </w:numPr>
              <w:spacing w:after="0" w:line="240" w:lineRule="auto"/>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konserwacja Sprzętu, jeśli modyfikacja </w:t>
            </w:r>
            <w:proofErr w:type="spellStart"/>
            <w:r w:rsidRPr="00755383">
              <w:rPr>
                <w:rFonts w:ascii="Calibri" w:eastAsia="Georgia" w:hAnsi="Calibri" w:cs="Calibri"/>
                <w:color w:val="000000"/>
                <w:sz w:val="14"/>
                <w:szCs w:val="14"/>
                <w:lang w:val="pl-PL"/>
              </w:rPr>
              <w:t>Sprzȩtu</w:t>
            </w:r>
            <w:proofErr w:type="spellEnd"/>
            <w:r w:rsidRPr="00755383">
              <w:rPr>
                <w:rFonts w:ascii="Calibri" w:eastAsia="Georgia" w:hAnsi="Calibri" w:cs="Calibri"/>
                <w:color w:val="000000"/>
                <w:sz w:val="14"/>
                <w:szCs w:val="14"/>
                <w:lang w:val="pl-PL"/>
              </w:rPr>
              <w:t xml:space="preserve"> przez Klienta spowodowała wzrost kosztów konserwacji; </w:t>
            </w:r>
          </w:p>
        </w:tc>
      </w:tr>
      <w:tr w:rsidR="006163B3" w:rsidRPr="00755383" w14:paraId="4A747EF1" w14:textId="77777777" w:rsidTr="006C27F7">
        <w:trPr>
          <w:trHeight w:val="97"/>
        </w:trPr>
        <w:tc>
          <w:tcPr>
            <w:tcW w:w="5245" w:type="dxa"/>
            <w:shd w:val="clear" w:color="auto" w:fill="auto"/>
            <w:noWrap/>
            <w:hideMark/>
          </w:tcPr>
          <w:p w14:paraId="7F96EB2D" w14:textId="333E16F1" w:rsidR="005A0203" w:rsidRPr="00755383" w:rsidRDefault="005A0203" w:rsidP="00B13C6F">
            <w:pPr>
              <w:pStyle w:val="ListParagraph"/>
              <w:numPr>
                <w:ilvl w:val="0"/>
                <w:numId w:val="4"/>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overhauling or rebuilding of Equipment;</w:t>
            </w:r>
          </w:p>
        </w:tc>
        <w:tc>
          <w:tcPr>
            <w:tcW w:w="5812" w:type="dxa"/>
            <w:shd w:val="clear" w:color="auto" w:fill="auto"/>
            <w:noWrap/>
            <w:hideMark/>
          </w:tcPr>
          <w:p w14:paraId="5BC9093E" w14:textId="1524544F" w:rsidR="005A0203" w:rsidRPr="00755383" w:rsidRDefault="005A0203" w:rsidP="00152DC6">
            <w:pPr>
              <w:pStyle w:val="ListParagraph"/>
              <w:numPr>
                <w:ilvl w:val="0"/>
                <w:numId w:val="8"/>
              </w:numPr>
              <w:spacing w:after="0" w:line="240" w:lineRule="auto"/>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remont lub przebudowa </w:t>
            </w:r>
            <w:proofErr w:type="spellStart"/>
            <w:r w:rsidRPr="00755383">
              <w:rPr>
                <w:rFonts w:ascii="Calibri" w:eastAsia="Georgia" w:hAnsi="Calibri" w:cs="Calibri"/>
                <w:color w:val="000000"/>
                <w:sz w:val="14"/>
                <w:szCs w:val="14"/>
                <w:lang w:val="pl-PL"/>
              </w:rPr>
              <w:t>Sprzȩtu</w:t>
            </w:r>
            <w:proofErr w:type="spellEnd"/>
            <w:r w:rsidRPr="00755383">
              <w:rPr>
                <w:rFonts w:ascii="Calibri" w:eastAsia="Georgia" w:hAnsi="Calibri" w:cs="Calibri"/>
                <w:color w:val="000000"/>
                <w:sz w:val="14"/>
                <w:szCs w:val="14"/>
                <w:lang w:val="pl-PL"/>
              </w:rPr>
              <w:t xml:space="preserve">; </w:t>
            </w:r>
          </w:p>
        </w:tc>
      </w:tr>
      <w:tr w:rsidR="006163B3" w:rsidRPr="00755383" w14:paraId="26452CE4" w14:textId="77777777" w:rsidTr="006C27F7">
        <w:trPr>
          <w:trHeight w:val="97"/>
        </w:trPr>
        <w:tc>
          <w:tcPr>
            <w:tcW w:w="5245" w:type="dxa"/>
            <w:shd w:val="clear" w:color="auto" w:fill="auto"/>
            <w:noWrap/>
            <w:hideMark/>
          </w:tcPr>
          <w:p w14:paraId="7236C135" w14:textId="2F1F0879" w:rsidR="005A0203" w:rsidRPr="00755383" w:rsidRDefault="005A0203" w:rsidP="00B13C6F">
            <w:pPr>
              <w:pStyle w:val="ListParagraph"/>
              <w:numPr>
                <w:ilvl w:val="0"/>
                <w:numId w:val="4"/>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replacement of continuous ink jet nozzles for Videojet Excel Triumph or 37 series printers;</w:t>
            </w:r>
          </w:p>
        </w:tc>
        <w:tc>
          <w:tcPr>
            <w:tcW w:w="5812" w:type="dxa"/>
            <w:shd w:val="clear" w:color="auto" w:fill="auto"/>
            <w:noWrap/>
            <w:hideMark/>
          </w:tcPr>
          <w:p w14:paraId="399F1068" w14:textId="31148E3A" w:rsidR="005A0203" w:rsidRPr="00755383" w:rsidRDefault="005A0203" w:rsidP="00152DC6">
            <w:pPr>
              <w:pStyle w:val="ListParagraph"/>
              <w:numPr>
                <w:ilvl w:val="0"/>
                <w:numId w:val="8"/>
              </w:numPr>
              <w:spacing w:after="0" w:line="240" w:lineRule="auto"/>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wymiana dysz atramentowych do drukarek w technologii bezkontaktowego druku ciągłego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Excel </w:t>
            </w:r>
            <w:proofErr w:type="spellStart"/>
            <w:r w:rsidRPr="00755383">
              <w:rPr>
                <w:rFonts w:ascii="Calibri" w:eastAsia="Georgia" w:hAnsi="Calibri" w:cs="Calibri"/>
                <w:color w:val="000000"/>
                <w:sz w:val="14"/>
                <w:szCs w:val="14"/>
                <w:lang w:val="pl-PL"/>
              </w:rPr>
              <w:t>Triumph</w:t>
            </w:r>
            <w:proofErr w:type="spellEnd"/>
            <w:r w:rsidRPr="00755383">
              <w:rPr>
                <w:rFonts w:ascii="Calibri" w:eastAsia="Georgia" w:hAnsi="Calibri" w:cs="Calibri"/>
                <w:color w:val="000000"/>
                <w:sz w:val="14"/>
                <w:szCs w:val="14"/>
                <w:lang w:val="pl-PL"/>
              </w:rPr>
              <w:t xml:space="preserve"> lub serii 37; </w:t>
            </w:r>
          </w:p>
        </w:tc>
      </w:tr>
      <w:tr w:rsidR="006163B3" w:rsidRPr="00755383" w14:paraId="5AC25F03" w14:textId="77777777" w:rsidTr="006C27F7">
        <w:trPr>
          <w:trHeight w:val="97"/>
        </w:trPr>
        <w:tc>
          <w:tcPr>
            <w:tcW w:w="5245" w:type="dxa"/>
            <w:shd w:val="clear" w:color="auto" w:fill="auto"/>
            <w:noWrap/>
            <w:hideMark/>
          </w:tcPr>
          <w:p w14:paraId="46D7E8C4" w14:textId="465F3ACC" w:rsidR="005A0203" w:rsidRPr="00755383" w:rsidRDefault="005A0203" w:rsidP="00B13C6F">
            <w:pPr>
              <w:pStyle w:val="ListParagraph"/>
              <w:numPr>
                <w:ilvl w:val="0"/>
                <w:numId w:val="4"/>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replacement of thermal transfer printheads if the Customer uses supplies and other consumables not approved by Videojet for use with Equipment; and</w:t>
            </w:r>
          </w:p>
        </w:tc>
        <w:tc>
          <w:tcPr>
            <w:tcW w:w="5812" w:type="dxa"/>
            <w:shd w:val="clear" w:color="auto" w:fill="auto"/>
            <w:noWrap/>
            <w:hideMark/>
          </w:tcPr>
          <w:p w14:paraId="64097B0C" w14:textId="7CA10316" w:rsidR="005A0203" w:rsidRPr="00755383" w:rsidRDefault="005A0203" w:rsidP="00152DC6">
            <w:pPr>
              <w:pStyle w:val="ListParagraph"/>
              <w:numPr>
                <w:ilvl w:val="0"/>
                <w:numId w:val="8"/>
              </w:numPr>
              <w:spacing w:after="0" w:line="240" w:lineRule="auto"/>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wymiana </w:t>
            </w:r>
            <w:proofErr w:type="spellStart"/>
            <w:r w:rsidRPr="00755383">
              <w:rPr>
                <w:rFonts w:ascii="Calibri" w:eastAsia="Georgia" w:hAnsi="Calibri" w:cs="Calibri"/>
                <w:color w:val="000000"/>
                <w:sz w:val="14"/>
                <w:szCs w:val="14"/>
                <w:lang w:val="pl-PL"/>
              </w:rPr>
              <w:t>termotransferowych</w:t>
            </w:r>
            <w:proofErr w:type="spellEnd"/>
            <w:r w:rsidRPr="00755383">
              <w:rPr>
                <w:rFonts w:ascii="Calibri" w:eastAsia="Georgia" w:hAnsi="Calibri" w:cs="Calibri"/>
                <w:color w:val="000000"/>
                <w:sz w:val="14"/>
                <w:szCs w:val="14"/>
                <w:lang w:val="pl-PL"/>
              </w:rPr>
              <w:t xml:space="preserve"> głowic drukujących, jeśli Klient używa materiałów eksploatacyjnych i innych materiałów zużywalnych nie zatwierdzonych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do użytku ze </w:t>
            </w:r>
            <w:proofErr w:type="spellStart"/>
            <w:r w:rsidRPr="00755383">
              <w:rPr>
                <w:rFonts w:ascii="Calibri" w:eastAsia="Georgia" w:hAnsi="Calibri" w:cs="Calibri"/>
                <w:color w:val="000000"/>
                <w:sz w:val="14"/>
                <w:szCs w:val="14"/>
                <w:lang w:val="pl-PL"/>
              </w:rPr>
              <w:t>Sprzȩtem</w:t>
            </w:r>
            <w:proofErr w:type="spellEnd"/>
            <w:r w:rsidRPr="00755383">
              <w:rPr>
                <w:rFonts w:ascii="Calibri" w:eastAsia="Georgia" w:hAnsi="Calibri" w:cs="Calibri"/>
                <w:color w:val="000000"/>
                <w:sz w:val="14"/>
                <w:szCs w:val="14"/>
                <w:lang w:val="pl-PL"/>
              </w:rPr>
              <w:t xml:space="preserve">; oraz </w:t>
            </w:r>
          </w:p>
        </w:tc>
      </w:tr>
      <w:tr w:rsidR="006163B3" w:rsidRPr="00755383" w14:paraId="3B9EC829" w14:textId="77777777" w:rsidTr="006C27F7">
        <w:trPr>
          <w:trHeight w:val="364"/>
        </w:trPr>
        <w:tc>
          <w:tcPr>
            <w:tcW w:w="5245" w:type="dxa"/>
            <w:shd w:val="clear" w:color="auto" w:fill="auto"/>
            <w:noWrap/>
            <w:hideMark/>
          </w:tcPr>
          <w:p w14:paraId="3D973B01" w14:textId="77777777" w:rsidR="005A0203" w:rsidRPr="00755383" w:rsidRDefault="005A0203" w:rsidP="00B13C6F">
            <w:pPr>
              <w:pStyle w:val="ListParagraph"/>
              <w:numPr>
                <w:ilvl w:val="0"/>
                <w:numId w:val="4"/>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de-installation or reinstallation of Equipment or any part thereof at the Customer's request.</w:t>
            </w:r>
          </w:p>
          <w:p w14:paraId="6DC3E641" w14:textId="215B1090" w:rsidR="00B13C6F" w:rsidRPr="00755383" w:rsidRDefault="00B13C6F" w:rsidP="00B13C6F">
            <w:pPr>
              <w:pStyle w:val="ListParagraph"/>
              <w:spacing w:after="0" w:line="240" w:lineRule="auto"/>
              <w:ind w:left="1312"/>
              <w:jc w:val="both"/>
              <w:rPr>
                <w:rFonts w:ascii="Calibri" w:eastAsia="Georgia" w:hAnsi="Calibri" w:cs="Calibri"/>
                <w:color w:val="000000"/>
                <w:sz w:val="14"/>
                <w:szCs w:val="14"/>
              </w:rPr>
            </w:pPr>
          </w:p>
        </w:tc>
        <w:tc>
          <w:tcPr>
            <w:tcW w:w="5812" w:type="dxa"/>
            <w:shd w:val="clear" w:color="auto" w:fill="auto"/>
            <w:noWrap/>
            <w:hideMark/>
          </w:tcPr>
          <w:p w14:paraId="0F654899" w14:textId="48004FCA" w:rsidR="005A0203" w:rsidRPr="00755383" w:rsidRDefault="005A0203" w:rsidP="00152DC6">
            <w:pPr>
              <w:pStyle w:val="ListParagraph"/>
              <w:numPr>
                <w:ilvl w:val="0"/>
                <w:numId w:val="8"/>
              </w:numPr>
              <w:spacing w:after="0" w:line="240" w:lineRule="auto"/>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deinstalacja lub ponowna instalacja Sprzętu, lub jakiejkolwiek jego części na żądanie Klienta. </w:t>
            </w:r>
          </w:p>
        </w:tc>
      </w:tr>
      <w:tr w:rsidR="006163B3" w:rsidRPr="00755383" w14:paraId="51241E76" w14:textId="77777777" w:rsidTr="006C27F7">
        <w:trPr>
          <w:trHeight w:val="126"/>
        </w:trPr>
        <w:tc>
          <w:tcPr>
            <w:tcW w:w="5245" w:type="dxa"/>
            <w:shd w:val="clear" w:color="auto" w:fill="auto"/>
            <w:noWrap/>
            <w:hideMark/>
          </w:tcPr>
          <w:p w14:paraId="557197AC" w14:textId="13F6E467" w:rsidR="005A0203" w:rsidRPr="00755383" w:rsidRDefault="005A0203" w:rsidP="00FA3323">
            <w:pPr>
              <w:pStyle w:val="ListParagraph"/>
              <w:numPr>
                <w:ilvl w:val="0"/>
                <w:numId w:val="3"/>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 Service Agreement does not cover repairs or maintenance resulting from:</w:t>
            </w:r>
          </w:p>
        </w:tc>
        <w:tc>
          <w:tcPr>
            <w:tcW w:w="5812" w:type="dxa"/>
            <w:shd w:val="clear" w:color="auto" w:fill="auto"/>
            <w:noWrap/>
            <w:hideMark/>
          </w:tcPr>
          <w:p w14:paraId="01D485F8" w14:textId="224D79AE" w:rsidR="005A0203" w:rsidRPr="00755383" w:rsidRDefault="005A0203" w:rsidP="00152DC6">
            <w:pPr>
              <w:pStyle w:val="ListParagraph"/>
              <w:numPr>
                <w:ilvl w:val="0"/>
                <w:numId w:val="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Umowa o Świadczenie Usług nie obejmuje napraw ani konserwacji wynikających z: </w:t>
            </w:r>
          </w:p>
        </w:tc>
      </w:tr>
      <w:tr w:rsidR="006163B3" w:rsidRPr="00755383" w14:paraId="28F5513B" w14:textId="77777777" w:rsidTr="006C27F7">
        <w:trPr>
          <w:trHeight w:val="97"/>
        </w:trPr>
        <w:tc>
          <w:tcPr>
            <w:tcW w:w="5245" w:type="dxa"/>
            <w:shd w:val="clear" w:color="auto" w:fill="auto"/>
            <w:noWrap/>
            <w:hideMark/>
          </w:tcPr>
          <w:p w14:paraId="71B16484" w14:textId="55AB2298" w:rsidR="00B13C6F" w:rsidRPr="00755383" w:rsidRDefault="005A0203" w:rsidP="00B13C6F">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Customer misconduct, accident, neglect or misuse;</w:t>
            </w:r>
          </w:p>
        </w:tc>
        <w:tc>
          <w:tcPr>
            <w:tcW w:w="5812" w:type="dxa"/>
            <w:shd w:val="clear" w:color="auto" w:fill="auto"/>
            <w:noWrap/>
            <w:hideMark/>
          </w:tcPr>
          <w:p w14:paraId="3D6A1004" w14:textId="50EFE4FD" w:rsidR="005F1323" w:rsidRPr="00755383" w:rsidRDefault="005A0203"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niewłaściwego postępowania Klienta, wypadku, zaniedbania lub niewłaściwego użytkowania; </w:t>
            </w:r>
          </w:p>
        </w:tc>
      </w:tr>
      <w:tr w:rsidR="006163B3" w:rsidRPr="00755383" w14:paraId="1FCD69C8" w14:textId="77777777" w:rsidTr="006C27F7">
        <w:trPr>
          <w:trHeight w:val="97"/>
        </w:trPr>
        <w:tc>
          <w:tcPr>
            <w:tcW w:w="5245" w:type="dxa"/>
            <w:shd w:val="clear" w:color="auto" w:fill="auto"/>
            <w:noWrap/>
            <w:hideMark/>
          </w:tcPr>
          <w:p w14:paraId="663A0DDC" w14:textId="17B23286" w:rsidR="005A0203" w:rsidRPr="00755383" w:rsidRDefault="005A0203" w:rsidP="00B13C6F">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failure of installation site to conform to Videojet's applicable specifications;</w:t>
            </w:r>
          </w:p>
        </w:tc>
        <w:tc>
          <w:tcPr>
            <w:tcW w:w="5812" w:type="dxa"/>
            <w:shd w:val="clear" w:color="auto" w:fill="auto"/>
            <w:noWrap/>
            <w:hideMark/>
          </w:tcPr>
          <w:p w14:paraId="5C32B16C" w14:textId="16AF4898" w:rsidR="005A0203" w:rsidRPr="00755383" w:rsidRDefault="005A0203"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niezgodnoś</w:t>
            </w:r>
            <w:r w:rsidR="00DB0D4D" w:rsidRPr="00755383">
              <w:rPr>
                <w:rFonts w:ascii="Calibri" w:eastAsia="Georgia" w:hAnsi="Calibri" w:cs="Calibri"/>
                <w:color w:val="000000"/>
                <w:sz w:val="14"/>
                <w:szCs w:val="14"/>
                <w:lang w:val="pl-PL"/>
              </w:rPr>
              <w:t>ci</w:t>
            </w:r>
            <w:r w:rsidRPr="00755383">
              <w:rPr>
                <w:rFonts w:ascii="Calibri" w:eastAsia="Georgia" w:hAnsi="Calibri" w:cs="Calibri"/>
                <w:color w:val="000000"/>
                <w:sz w:val="14"/>
                <w:szCs w:val="14"/>
                <w:lang w:val="pl-PL"/>
              </w:rPr>
              <w:t xml:space="preserve"> miejsca instalacji ze stosownymi specyfikacjami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w:t>
            </w:r>
          </w:p>
        </w:tc>
      </w:tr>
      <w:tr w:rsidR="006163B3" w:rsidRPr="00755383" w14:paraId="197E274D" w14:textId="77777777" w:rsidTr="006C27F7">
        <w:trPr>
          <w:trHeight w:val="97"/>
        </w:trPr>
        <w:tc>
          <w:tcPr>
            <w:tcW w:w="5245" w:type="dxa"/>
            <w:shd w:val="clear" w:color="auto" w:fill="auto"/>
            <w:noWrap/>
            <w:hideMark/>
          </w:tcPr>
          <w:p w14:paraId="265FE690" w14:textId="2A49021E" w:rsidR="005A0203" w:rsidRPr="00755383" w:rsidRDefault="005A0203" w:rsidP="00B13C6F">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failure or inadequacy of electric power, humidity or air control;</w:t>
            </w:r>
          </w:p>
        </w:tc>
        <w:tc>
          <w:tcPr>
            <w:tcW w:w="5812" w:type="dxa"/>
            <w:shd w:val="clear" w:color="auto" w:fill="auto"/>
            <w:noWrap/>
            <w:hideMark/>
          </w:tcPr>
          <w:p w14:paraId="481CF209" w14:textId="5D80A7B7" w:rsidR="005A0203" w:rsidRPr="00755383" w:rsidRDefault="005A0203"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awarii lub niewystarczającego zasilania elektrycznego, wilgotności lub kontroli powietrza;</w:t>
            </w:r>
          </w:p>
        </w:tc>
      </w:tr>
      <w:tr w:rsidR="006163B3" w:rsidRPr="00755383" w14:paraId="6B0048B9" w14:textId="77777777" w:rsidTr="006C27F7">
        <w:trPr>
          <w:trHeight w:val="97"/>
        </w:trPr>
        <w:tc>
          <w:tcPr>
            <w:tcW w:w="5245" w:type="dxa"/>
            <w:shd w:val="clear" w:color="auto" w:fill="auto"/>
            <w:noWrap/>
            <w:hideMark/>
          </w:tcPr>
          <w:p w14:paraId="17B67B42" w14:textId="4DE2FEA8" w:rsidR="005A0203" w:rsidRPr="00755383" w:rsidRDefault="005A0203" w:rsidP="00B13C6F">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the Customer's use of supplies and other consumables not approved by Videojet for use with Equipment;</w:t>
            </w:r>
          </w:p>
        </w:tc>
        <w:tc>
          <w:tcPr>
            <w:tcW w:w="5812" w:type="dxa"/>
            <w:shd w:val="clear" w:color="auto" w:fill="auto"/>
            <w:noWrap/>
            <w:hideMark/>
          </w:tcPr>
          <w:p w14:paraId="4EA354FD" w14:textId="712D6B4E" w:rsidR="005A0203" w:rsidRPr="00755383" w:rsidRDefault="005A0203"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stosowani</w:t>
            </w:r>
            <w:r w:rsidR="00DB0D4D" w:rsidRPr="00755383">
              <w:rPr>
                <w:rFonts w:ascii="Calibri" w:eastAsia="Georgia" w:hAnsi="Calibri" w:cs="Calibri"/>
                <w:color w:val="000000"/>
                <w:sz w:val="14"/>
                <w:szCs w:val="14"/>
                <w:lang w:val="pl-PL"/>
              </w:rPr>
              <w:t>a</w:t>
            </w:r>
            <w:r w:rsidRPr="00755383">
              <w:rPr>
                <w:rFonts w:ascii="Calibri" w:eastAsia="Georgia" w:hAnsi="Calibri" w:cs="Calibri"/>
                <w:color w:val="000000"/>
                <w:sz w:val="14"/>
                <w:szCs w:val="14"/>
                <w:lang w:val="pl-PL"/>
              </w:rPr>
              <w:t xml:space="preserve"> przez Klienta materiałów eksploatacyjnych i innych materiałów zużywalnych niezatwierdzonych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do użytku ze Sprzętem; </w:t>
            </w:r>
          </w:p>
        </w:tc>
      </w:tr>
      <w:tr w:rsidR="006163B3" w:rsidRPr="00755383" w14:paraId="735F94DB" w14:textId="77777777" w:rsidTr="006C27F7">
        <w:trPr>
          <w:trHeight w:val="97"/>
        </w:trPr>
        <w:tc>
          <w:tcPr>
            <w:tcW w:w="5245" w:type="dxa"/>
            <w:shd w:val="clear" w:color="auto" w:fill="auto"/>
            <w:noWrap/>
            <w:hideMark/>
          </w:tcPr>
          <w:p w14:paraId="04F2C0BF" w14:textId="185050FE" w:rsidR="005A0203" w:rsidRPr="00755383" w:rsidRDefault="005A0203" w:rsidP="00B13C6F">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the Customer’s failure to follow operating procedures provided by Videojet;</w:t>
            </w:r>
          </w:p>
        </w:tc>
        <w:tc>
          <w:tcPr>
            <w:tcW w:w="5812" w:type="dxa"/>
            <w:shd w:val="clear" w:color="auto" w:fill="auto"/>
            <w:noWrap/>
            <w:hideMark/>
          </w:tcPr>
          <w:p w14:paraId="6FD90346" w14:textId="767A76A9" w:rsidR="005A0203" w:rsidRPr="00755383" w:rsidRDefault="005A0203"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nieprzestrzegani</w:t>
            </w:r>
            <w:r w:rsidR="00DB0D4D" w:rsidRPr="00755383">
              <w:rPr>
                <w:rFonts w:ascii="Calibri" w:eastAsia="Georgia" w:hAnsi="Calibri" w:cs="Calibri"/>
                <w:color w:val="000000"/>
                <w:sz w:val="14"/>
                <w:szCs w:val="14"/>
                <w:lang w:val="pl-PL"/>
              </w:rPr>
              <w:t>a</w:t>
            </w:r>
            <w:r w:rsidRPr="00755383">
              <w:rPr>
                <w:rFonts w:ascii="Calibri" w:eastAsia="Georgia" w:hAnsi="Calibri" w:cs="Calibri"/>
                <w:color w:val="000000"/>
                <w:sz w:val="14"/>
                <w:szCs w:val="14"/>
                <w:lang w:val="pl-PL"/>
              </w:rPr>
              <w:t xml:space="preserve"> przez Klienta procedur operacyjnych dostarczonych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p>
        </w:tc>
      </w:tr>
      <w:tr w:rsidR="006163B3" w:rsidRPr="00755383" w14:paraId="43245706" w14:textId="77777777" w:rsidTr="006C27F7">
        <w:trPr>
          <w:trHeight w:val="97"/>
        </w:trPr>
        <w:tc>
          <w:tcPr>
            <w:tcW w:w="5245" w:type="dxa"/>
            <w:shd w:val="clear" w:color="auto" w:fill="auto"/>
            <w:noWrap/>
            <w:hideMark/>
          </w:tcPr>
          <w:p w14:paraId="34DE7C49" w14:textId="5C3FF192" w:rsidR="005A0203" w:rsidRPr="00755383" w:rsidRDefault="005A0203" w:rsidP="00B13C6F">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service or maintenance performed by a third party or an unauthorised representative of Videojet; and</w:t>
            </w:r>
          </w:p>
        </w:tc>
        <w:tc>
          <w:tcPr>
            <w:tcW w:w="5812" w:type="dxa"/>
            <w:shd w:val="clear" w:color="auto" w:fill="auto"/>
            <w:noWrap/>
            <w:hideMark/>
          </w:tcPr>
          <w:p w14:paraId="5652D78E" w14:textId="53271DD1" w:rsidR="005A0203" w:rsidRPr="00755383" w:rsidRDefault="005A0203"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wykonani</w:t>
            </w:r>
            <w:r w:rsidR="00DB0D4D" w:rsidRPr="00755383">
              <w:rPr>
                <w:rFonts w:ascii="Calibri" w:eastAsia="Georgia" w:hAnsi="Calibri" w:cs="Calibri"/>
                <w:color w:val="000000"/>
                <w:sz w:val="14"/>
                <w:szCs w:val="14"/>
                <w:lang w:val="pl-PL"/>
              </w:rPr>
              <w:t>a</w:t>
            </w:r>
            <w:r w:rsidRPr="00755383">
              <w:rPr>
                <w:rFonts w:ascii="Calibri" w:eastAsia="Georgia" w:hAnsi="Calibri" w:cs="Calibri"/>
                <w:color w:val="000000"/>
                <w:sz w:val="14"/>
                <w:szCs w:val="14"/>
                <w:lang w:val="pl-PL"/>
              </w:rPr>
              <w:t xml:space="preserve"> serwisu lub konserwacji przez </w:t>
            </w:r>
            <w:proofErr w:type="spellStart"/>
            <w:r w:rsidRPr="00755383">
              <w:rPr>
                <w:rFonts w:ascii="Calibri" w:eastAsia="Georgia" w:hAnsi="Calibri" w:cs="Calibri"/>
                <w:color w:val="000000"/>
                <w:sz w:val="14"/>
                <w:szCs w:val="14"/>
                <w:lang w:val="pl-PL"/>
              </w:rPr>
              <w:t>stronȩ</w:t>
            </w:r>
            <w:proofErr w:type="spellEnd"/>
            <w:r w:rsidRPr="00755383">
              <w:rPr>
                <w:rFonts w:ascii="Calibri" w:eastAsia="Georgia" w:hAnsi="Calibri" w:cs="Calibri"/>
                <w:color w:val="000000"/>
                <w:sz w:val="14"/>
                <w:szCs w:val="14"/>
                <w:lang w:val="pl-PL"/>
              </w:rPr>
              <w:t xml:space="preserve"> trzecią lub nieautoryzowanego przedstawiciela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oraz </w:t>
            </w:r>
          </w:p>
        </w:tc>
      </w:tr>
      <w:tr w:rsidR="006163B3" w:rsidRPr="00755383" w14:paraId="71C1C9B5" w14:textId="77777777" w:rsidTr="006C27F7">
        <w:trPr>
          <w:trHeight w:val="97"/>
        </w:trPr>
        <w:tc>
          <w:tcPr>
            <w:tcW w:w="5245" w:type="dxa"/>
            <w:shd w:val="clear" w:color="auto" w:fill="auto"/>
            <w:noWrap/>
            <w:hideMark/>
          </w:tcPr>
          <w:p w14:paraId="784CC510" w14:textId="54C51FBD" w:rsidR="00B13C6F" w:rsidRPr="00755383" w:rsidRDefault="005A0203" w:rsidP="005F1323">
            <w:pPr>
              <w:pStyle w:val="ListParagraph"/>
              <w:numPr>
                <w:ilvl w:val="0"/>
                <w:numId w:val="5"/>
              </w:numPr>
              <w:spacing w:after="0" w:line="240" w:lineRule="auto"/>
              <w:jc w:val="both"/>
              <w:rPr>
                <w:rFonts w:ascii="Calibri" w:eastAsia="Georgia" w:hAnsi="Calibri" w:cs="Calibri"/>
                <w:color w:val="000000"/>
                <w:sz w:val="14"/>
                <w:szCs w:val="14"/>
              </w:rPr>
            </w:pPr>
            <w:r w:rsidRPr="00755383">
              <w:rPr>
                <w:rFonts w:ascii="Calibri" w:eastAsia="Georgia" w:hAnsi="Calibri" w:cs="Calibri"/>
                <w:color w:val="000000"/>
                <w:sz w:val="14"/>
                <w:szCs w:val="14"/>
              </w:rPr>
              <w:t>Force Majeure (as defined in clause 8).</w:t>
            </w:r>
          </w:p>
          <w:p w14:paraId="295F6FF3" w14:textId="77777777" w:rsidR="00C00D45" w:rsidRDefault="00C00D45" w:rsidP="00C00D45">
            <w:pPr>
              <w:pStyle w:val="ListParagraph"/>
              <w:spacing w:after="0" w:line="240" w:lineRule="auto"/>
              <w:ind w:left="1080"/>
              <w:jc w:val="both"/>
              <w:rPr>
                <w:rFonts w:ascii="Calibri" w:eastAsia="Georgia" w:hAnsi="Calibri" w:cs="Calibri"/>
                <w:color w:val="000000"/>
                <w:sz w:val="14"/>
                <w:szCs w:val="14"/>
              </w:rPr>
            </w:pPr>
          </w:p>
          <w:p w14:paraId="10728CD9" w14:textId="77777777" w:rsidR="00B67C48" w:rsidRDefault="00B67C48" w:rsidP="00C00D45">
            <w:pPr>
              <w:pStyle w:val="ListParagraph"/>
              <w:spacing w:after="0" w:line="240" w:lineRule="auto"/>
              <w:ind w:left="1080"/>
              <w:jc w:val="both"/>
              <w:rPr>
                <w:rFonts w:ascii="Calibri" w:eastAsia="Georgia" w:hAnsi="Calibri" w:cs="Calibri"/>
                <w:color w:val="000000"/>
                <w:sz w:val="14"/>
                <w:szCs w:val="14"/>
              </w:rPr>
            </w:pPr>
          </w:p>
          <w:p w14:paraId="1ED19B81" w14:textId="77777777" w:rsidR="00B67C48" w:rsidRPr="00755383" w:rsidRDefault="00B67C48" w:rsidP="00C00D45">
            <w:pPr>
              <w:pStyle w:val="ListParagraph"/>
              <w:spacing w:after="0" w:line="240" w:lineRule="auto"/>
              <w:ind w:left="1080"/>
              <w:jc w:val="both"/>
              <w:rPr>
                <w:rFonts w:ascii="Calibri" w:eastAsia="Georgia" w:hAnsi="Calibri" w:cs="Calibri"/>
                <w:color w:val="000000"/>
                <w:sz w:val="14"/>
                <w:szCs w:val="14"/>
              </w:rPr>
            </w:pPr>
          </w:p>
          <w:p w14:paraId="642B655B" w14:textId="4014C816" w:rsidR="005F1323" w:rsidRPr="00755383" w:rsidRDefault="005F1323" w:rsidP="005F1323">
            <w:pPr>
              <w:pStyle w:val="ListParagraph"/>
              <w:spacing w:after="0" w:line="240" w:lineRule="auto"/>
              <w:ind w:left="1080"/>
              <w:jc w:val="both"/>
              <w:rPr>
                <w:rFonts w:ascii="Calibri" w:eastAsia="Georgia" w:hAnsi="Calibri" w:cs="Calibri"/>
                <w:color w:val="000000"/>
                <w:sz w:val="14"/>
                <w:szCs w:val="14"/>
              </w:rPr>
            </w:pPr>
          </w:p>
        </w:tc>
        <w:tc>
          <w:tcPr>
            <w:tcW w:w="5812" w:type="dxa"/>
            <w:shd w:val="clear" w:color="auto" w:fill="auto"/>
            <w:noWrap/>
            <w:hideMark/>
          </w:tcPr>
          <w:p w14:paraId="6FDC4EA4" w14:textId="1EAFAE79" w:rsidR="005A0203" w:rsidRPr="00755383" w:rsidRDefault="00DB0D4D" w:rsidP="00C00D45">
            <w:pPr>
              <w:pStyle w:val="ListParagraph"/>
              <w:numPr>
                <w:ilvl w:val="0"/>
                <w:numId w:val="6"/>
              </w:numPr>
              <w:spacing w:after="0" w:line="240" w:lineRule="auto"/>
              <w:ind w:left="1172" w:hanging="74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Siły Wyższej</w:t>
            </w:r>
            <w:r w:rsidR="005A0203" w:rsidRPr="00755383">
              <w:rPr>
                <w:rFonts w:ascii="Calibri" w:eastAsia="Georgia" w:hAnsi="Calibri" w:cs="Calibri"/>
                <w:color w:val="000000"/>
                <w:sz w:val="14"/>
                <w:szCs w:val="14"/>
                <w:lang w:val="pl-PL"/>
              </w:rPr>
              <w:t xml:space="preserve"> (zgodnie z definicją w ust. 8).</w:t>
            </w:r>
          </w:p>
        </w:tc>
      </w:tr>
      <w:tr w:rsidR="006163B3" w:rsidRPr="00755383" w14:paraId="08263F7D" w14:textId="77777777" w:rsidTr="006C27F7">
        <w:trPr>
          <w:trHeight w:val="97"/>
        </w:trPr>
        <w:tc>
          <w:tcPr>
            <w:tcW w:w="5245" w:type="dxa"/>
            <w:shd w:val="clear" w:color="auto" w:fill="auto"/>
            <w:noWrap/>
            <w:hideMark/>
          </w:tcPr>
          <w:p w14:paraId="326426C1"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lastRenderedPageBreak/>
              <w:t>3.                 Billing and Payment</w:t>
            </w:r>
          </w:p>
        </w:tc>
        <w:tc>
          <w:tcPr>
            <w:tcW w:w="5812" w:type="dxa"/>
            <w:shd w:val="clear" w:color="auto" w:fill="auto"/>
            <w:noWrap/>
            <w:hideMark/>
          </w:tcPr>
          <w:p w14:paraId="472F99A6"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3.                 Fakturowanie i płatności</w:t>
            </w:r>
          </w:p>
        </w:tc>
      </w:tr>
      <w:tr w:rsidR="006163B3" w:rsidRPr="00755383" w14:paraId="32F334F2" w14:textId="77777777" w:rsidTr="006C27F7">
        <w:trPr>
          <w:trHeight w:val="773"/>
        </w:trPr>
        <w:tc>
          <w:tcPr>
            <w:tcW w:w="5245" w:type="dxa"/>
            <w:shd w:val="clear" w:color="auto" w:fill="auto"/>
            <w:noWrap/>
            <w:hideMark/>
          </w:tcPr>
          <w:p w14:paraId="3E5E4B25" w14:textId="643B2521" w:rsidR="00152DC6" w:rsidRPr="00755383"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Payment in full is due within </w:t>
            </w:r>
            <w:r w:rsidR="00F87E1B">
              <w:rPr>
                <w:rFonts w:ascii="Calibri" w:eastAsia="Georgia" w:hAnsi="Calibri" w:cs="Calibri"/>
                <w:color w:val="000000"/>
                <w:sz w:val="14"/>
                <w:szCs w:val="14"/>
              </w:rPr>
              <w:t>thirty (</w:t>
            </w:r>
            <w:r w:rsidRPr="00755383">
              <w:rPr>
                <w:rFonts w:ascii="Calibri" w:eastAsia="Georgia" w:hAnsi="Calibri" w:cs="Calibri"/>
                <w:color w:val="000000"/>
                <w:sz w:val="14"/>
                <w:szCs w:val="14"/>
              </w:rPr>
              <w:t>30</w:t>
            </w:r>
            <w:r w:rsidR="00F87E1B">
              <w:rPr>
                <w:rFonts w:ascii="Calibri" w:eastAsia="Georgia" w:hAnsi="Calibri" w:cs="Calibri"/>
                <w:color w:val="000000"/>
                <w:sz w:val="14"/>
                <w:szCs w:val="14"/>
              </w:rPr>
              <w:t>)</w:t>
            </w:r>
            <w:r w:rsidRPr="00755383">
              <w:rPr>
                <w:rFonts w:ascii="Calibri" w:eastAsia="Georgia" w:hAnsi="Calibri" w:cs="Calibri"/>
                <w:color w:val="000000"/>
                <w:sz w:val="14"/>
                <w:szCs w:val="14"/>
              </w:rPr>
              <w:t xml:space="preserve"> days of the Customer's receipt of invoice unless otherwise agreed in writing by Videojet and the Customer shall make payment in full and in cleared funds to a bank account nominated in writing by Videojet. Videojet shall issue invoices in advance of each payment period identified in the Service Agreement ("</w:t>
            </w:r>
            <w:r w:rsidRPr="00755383">
              <w:rPr>
                <w:rFonts w:ascii="Calibri" w:eastAsia="Georgia" w:hAnsi="Calibri" w:cs="Calibri"/>
                <w:b/>
                <w:bCs/>
                <w:color w:val="000000"/>
                <w:sz w:val="14"/>
                <w:szCs w:val="14"/>
              </w:rPr>
              <w:t>Payment Period</w:t>
            </w:r>
            <w:r w:rsidRPr="00755383">
              <w:rPr>
                <w:rFonts w:ascii="Calibri" w:eastAsia="Georgia" w:hAnsi="Calibri" w:cs="Calibri"/>
                <w:color w:val="000000"/>
                <w:sz w:val="14"/>
                <w:szCs w:val="14"/>
              </w:rPr>
              <w:t>").</w:t>
            </w:r>
          </w:p>
        </w:tc>
        <w:tc>
          <w:tcPr>
            <w:tcW w:w="5812" w:type="dxa"/>
            <w:shd w:val="clear" w:color="auto" w:fill="auto"/>
            <w:noWrap/>
            <w:hideMark/>
          </w:tcPr>
          <w:p w14:paraId="42758EC7" w14:textId="2D8B432A" w:rsidR="00554DDC" w:rsidRPr="00755383" w:rsidRDefault="005A0203"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Pełna płatność jest należna w ciągu </w:t>
            </w:r>
            <w:r w:rsidR="00F87E1B" w:rsidRPr="00F87E1B">
              <w:rPr>
                <w:rFonts w:ascii="Calibri" w:eastAsia="Georgia" w:hAnsi="Calibri" w:cs="Calibri"/>
                <w:color w:val="000000"/>
                <w:sz w:val="14"/>
                <w:szCs w:val="14"/>
                <w:lang w:val="pl-PL"/>
              </w:rPr>
              <w:t>trzydzieści</w:t>
            </w:r>
            <w:r w:rsidR="00F87E1B">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30</w:t>
            </w:r>
            <w:r w:rsidR="00F87E1B">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 dni od daty otrzymania faktury przez Klienta, chyba że firma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uzgodni inaczej na piśmie, a Klient dokona płatności w całości i w formie wpłaty środków na konto bankowe wskazane na piśmie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wystawi faktury z góry za każdy okres płatności określony w Umowie o Świadczeniu Usług („</w:t>
            </w:r>
            <w:r w:rsidRPr="00755383">
              <w:rPr>
                <w:rFonts w:ascii="Calibri" w:eastAsia="Georgia" w:hAnsi="Calibri" w:cs="Calibri"/>
                <w:b/>
                <w:bCs/>
                <w:color w:val="000000"/>
                <w:sz w:val="14"/>
                <w:szCs w:val="14"/>
                <w:lang w:val="pl-PL"/>
              </w:rPr>
              <w:t>Okres płatności</w:t>
            </w:r>
            <w:r w:rsidRPr="00755383">
              <w:rPr>
                <w:rFonts w:ascii="Calibri" w:eastAsia="Georgia" w:hAnsi="Calibri" w:cs="Calibri"/>
                <w:color w:val="000000"/>
                <w:sz w:val="14"/>
                <w:szCs w:val="14"/>
                <w:lang w:val="pl-PL"/>
              </w:rPr>
              <w:t>”).</w:t>
            </w:r>
          </w:p>
        </w:tc>
      </w:tr>
      <w:tr w:rsidR="006163B3" w:rsidRPr="00755383" w14:paraId="3626F294" w14:textId="77777777" w:rsidTr="006C27F7">
        <w:trPr>
          <w:trHeight w:val="274"/>
        </w:trPr>
        <w:tc>
          <w:tcPr>
            <w:tcW w:w="5245" w:type="dxa"/>
            <w:shd w:val="clear" w:color="auto" w:fill="auto"/>
            <w:noWrap/>
            <w:hideMark/>
          </w:tcPr>
          <w:p w14:paraId="3742FAC9" w14:textId="3C3DA6FD" w:rsidR="005A0203" w:rsidRPr="00755383"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If the Customer fails to make a payment due to Videojet by the due date, then, without limiting any other remedies available to Videojet, the Customer shall pay </w:t>
            </w:r>
            <w:r w:rsidR="001A1CE0" w:rsidRPr="00755383">
              <w:rPr>
                <w:rFonts w:ascii="Calibri" w:eastAsia="Georgia" w:hAnsi="Calibri" w:cs="Calibri"/>
                <w:color w:val="000000"/>
                <w:sz w:val="14"/>
                <w:szCs w:val="14"/>
              </w:rPr>
              <w:t xml:space="preserve">statutory </w:t>
            </w:r>
            <w:r w:rsidRPr="00755383">
              <w:rPr>
                <w:rFonts w:ascii="Calibri" w:eastAsia="Georgia" w:hAnsi="Calibri" w:cs="Calibri"/>
                <w:color w:val="000000"/>
                <w:sz w:val="14"/>
                <w:szCs w:val="14"/>
              </w:rPr>
              <w:t>interest on any overdue amount. Such interest shall accrue on a daily basis from the due date until actual payment of the overdue amount, whether before or after judgment. The Customer shall pay the interest together with the overdue amount.</w:t>
            </w:r>
          </w:p>
        </w:tc>
        <w:tc>
          <w:tcPr>
            <w:tcW w:w="5812" w:type="dxa"/>
            <w:shd w:val="clear" w:color="auto" w:fill="auto"/>
            <w:noWrap/>
            <w:hideMark/>
          </w:tcPr>
          <w:p w14:paraId="1F9BC6D1" w14:textId="7CFC0A59" w:rsidR="005A0203" w:rsidRPr="00755383" w:rsidRDefault="005A0203"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Jeśli Klient nie dokona płatności należnej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 wyznaczonym terminie, wówczas, nie ograniczając innych środków ochrony prawnej przysługujących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Klient zapłaci odsetki</w:t>
            </w:r>
            <w:r w:rsidR="00DB0D4D" w:rsidRPr="00755383">
              <w:rPr>
                <w:rFonts w:ascii="Calibri" w:eastAsia="Georgia" w:hAnsi="Calibri" w:cs="Calibri"/>
                <w:color w:val="000000"/>
                <w:sz w:val="14"/>
                <w:szCs w:val="14"/>
                <w:lang w:val="pl-PL"/>
              </w:rPr>
              <w:t xml:space="preserve"> ustawowe</w:t>
            </w:r>
            <w:r w:rsidRPr="00755383">
              <w:rPr>
                <w:rFonts w:ascii="Calibri" w:eastAsia="Georgia" w:hAnsi="Calibri" w:cs="Calibri"/>
                <w:color w:val="000000"/>
                <w:sz w:val="14"/>
                <w:szCs w:val="14"/>
                <w:lang w:val="pl-PL"/>
              </w:rPr>
              <w:t xml:space="preserve"> od wszelkich zaległych kwot, Takie odsetki naliczane są codziennie od daty płatności do faktycznej zapłaty zaległej kwoty, zarówno przed, jak i po wydaniu wyroku</w:t>
            </w:r>
            <w:r w:rsidR="00EF796D"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Klient zapłaci odsetki razem z zaległą kwotą. </w:t>
            </w:r>
          </w:p>
        </w:tc>
      </w:tr>
      <w:tr w:rsidR="006163B3" w:rsidRPr="00755383" w14:paraId="20B60262" w14:textId="77777777" w:rsidTr="006C27F7">
        <w:trPr>
          <w:trHeight w:val="103"/>
        </w:trPr>
        <w:tc>
          <w:tcPr>
            <w:tcW w:w="5245" w:type="dxa"/>
            <w:shd w:val="clear" w:color="auto" w:fill="auto"/>
            <w:noWrap/>
            <w:hideMark/>
          </w:tcPr>
          <w:p w14:paraId="0F34E984" w14:textId="24C2964A" w:rsidR="005A0203" w:rsidRPr="00755383"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may require payment in advance if in its opinion the Customer's financial condition reasonably appears to call for such action.</w:t>
            </w:r>
          </w:p>
        </w:tc>
        <w:tc>
          <w:tcPr>
            <w:tcW w:w="5812" w:type="dxa"/>
            <w:shd w:val="clear" w:color="auto" w:fill="auto"/>
            <w:noWrap/>
            <w:hideMark/>
          </w:tcPr>
          <w:p w14:paraId="7BEF26F2" w14:textId="6C25F3E3" w:rsidR="005A0203" w:rsidRPr="00755383" w:rsidRDefault="005A0203"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może zażądać płatności z góry, jeśli w jej opinii sytuacja finansowa Klienta wymaga podjęcia takiego działania.</w:t>
            </w:r>
          </w:p>
        </w:tc>
      </w:tr>
      <w:tr w:rsidR="006163B3" w:rsidRPr="00755383" w14:paraId="4849A57F" w14:textId="77777777" w:rsidTr="006C27F7">
        <w:trPr>
          <w:trHeight w:val="1528"/>
        </w:trPr>
        <w:tc>
          <w:tcPr>
            <w:tcW w:w="5245" w:type="dxa"/>
            <w:shd w:val="clear" w:color="auto" w:fill="auto"/>
            <w:noWrap/>
            <w:hideMark/>
          </w:tcPr>
          <w:p w14:paraId="018635CF" w14:textId="580C510D" w:rsidR="005A0203" w:rsidRPr="00755383"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The fee for the Service Agreement is based on Videojet performing Services at the location identified in the Service Agreement Order Form. If the Customer relocates Equipment or any part thereof, Videojet may increase the fee if such relocation affects Videojet's cost of performing its obligations hereunder. If Equipment is located outside </w:t>
            </w:r>
            <w:r w:rsidR="00EF796D" w:rsidRPr="00755383">
              <w:rPr>
                <w:rFonts w:ascii="Calibri" w:eastAsia="Georgia" w:hAnsi="Calibri" w:cs="Calibri"/>
                <w:color w:val="000000"/>
                <w:sz w:val="14"/>
                <w:szCs w:val="14"/>
              </w:rPr>
              <w:t xml:space="preserve">Poland, </w:t>
            </w:r>
            <w:r w:rsidRPr="00755383">
              <w:rPr>
                <w:rFonts w:ascii="Calibri" w:eastAsia="Georgia" w:hAnsi="Calibri" w:cs="Calibri"/>
                <w:color w:val="000000"/>
                <w:sz w:val="14"/>
                <w:szCs w:val="14"/>
              </w:rPr>
              <w:t>Videojet may at its option provide the Services and the Customer agrees to pay prevailing travel rates and reasonable expenses incurred by Videojet or Videojet's authorised representative in connection with performing its obligations hereunder.</w:t>
            </w:r>
          </w:p>
        </w:tc>
        <w:tc>
          <w:tcPr>
            <w:tcW w:w="5812" w:type="dxa"/>
            <w:shd w:val="clear" w:color="auto" w:fill="auto"/>
            <w:noWrap/>
            <w:hideMark/>
          </w:tcPr>
          <w:p w14:paraId="14CAEF43" w14:textId="2E4E102B" w:rsidR="005A0203" w:rsidRPr="00755383" w:rsidRDefault="005A0203"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Opłata </w:t>
            </w:r>
            <w:r w:rsidR="003A676D" w:rsidRPr="00755383">
              <w:rPr>
                <w:rFonts w:ascii="Calibri" w:eastAsia="Georgia" w:hAnsi="Calibri" w:cs="Calibri"/>
                <w:color w:val="000000"/>
                <w:sz w:val="14"/>
                <w:szCs w:val="14"/>
                <w:lang w:val="pl-PL"/>
              </w:rPr>
              <w:t>należna na mocy</w:t>
            </w:r>
            <w:r w:rsidRPr="00755383">
              <w:rPr>
                <w:rFonts w:ascii="Calibri" w:eastAsia="Georgia" w:hAnsi="Calibri" w:cs="Calibri"/>
                <w:color w:val="000000"/>
                <w:sz w:val="14"/>
                <w:szCs w:val="14"/>
                <w:lang w:val="pl-PL"/>
              </w:rPr>
              <w:t xml:space="preserve"> Umow</w:t>
            </w:r>
            <w:r w:rsidR="003A676D" w:rsidRPr="00755383">
              <w:rPr>
                <w:rFonts w:ascii="Calibri" w:eastAsia="Georgia" w:hAnsi="Calibri" w:cs="Calibri"/>
                <w:color w:val="000000"/>
                <w:sz w:val="14"/>
                <w:szCs w:val="14"/>
                <w:lang w:val="pl-PL"/>
              </w:rPr>
              <w:t>y</w:t>
            </w:r>
            <w:r w:rsidRPr="00755383">
              <w:rPr>
                <w:rFonts w:ascii="Calibri" w:eastAsia="Georgia" w:hAnsi="Calibri" w:cs="Calibri"/>
                <w:color w:val="000000"/>
                <w:sz w:val="14"/>
                <w:szCs w:val="14"/>
                <w:lang w:val="pl-PL"/>
              </w:rPr>
              <w:t xml:space="preserve"> o Świadczeniu Usług opiera się na świadczeniu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Usług w miejscu wskazanym w Formularzu Zamówienia Umowy o Świadczeniu Usług. Jeśli Klient przeniesie </w:t>
            </w:r>
            <w:proofErr w:type="spellStart"/>
            <w:r w:rsidRPr="00755383">
              <w:rPr>
                <w:rFonts w:ascii="Calibri" w:eastAsia="Georgia" w:hAnsi="Calibri" w:cs="Calibri"/>
                <w:color w:val="000000"/>
                <w:sz w:val="14"/>
                <w:szCs w:val="14"/>
                <w:lang w:val="pl-PL"/>
              </w:rPr>
              <w:t>Sprzȩt</w:t>
            </w:r>
            <w:proofErr w:type="spellEnd"/>
            <w:r w:rsidRPr="00755383">
              <w:rPr>
                <w:rFonts w:ascii="Calibri" w:eastAsia="Georgia" w:hAnsi="Calibri" w:cs="Calibri"/>
                <w:color w:val="000000"/>
                <w:sz w:val="14"/>
                <w:szCs w:val="14"/>
                <w:lang w:val="pl-PL"/>
              </w:rPr>
              <w:t xml:space="preserve"> lub jakąkolwiek jego część,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może podwyższyć </w:t>
            </w:r>
            <w:proofErr w:type="spellStart"/>
            <w:r w:rsidRPr="00755383">
              <w:rPr>
                <w:rFonts w:ascii="Calibri" w:eastAsia="Georgia" w:hAnsi="Calibri" w:cs="Calibri"/>
                <w:color w:val="000000"/>
                <w:sz w:val="14"/>
                <w:szCs w:val="14"/>
                <w:lang w:val="pl-PL"/>
              </w:rPr>
              <w:t>opłatȩ</w:t>
            </w:r>
            <w:proofErr w:type="spellEnd"/>
            <w:r w:rsidRPr="00755383">
              <w:rPr>
                <w:rFonts w:ascii="Calibri" w:eastAsia="Georgia" w:hAnsi="Calibri" w:cs="Calibri"/>
                <w:color w:val="000000"/>
                <w:sz w:val="14"/>
                <w:szCs w:val="14"/>
                <w:lang w:val="pl-PL"/>
              </w:rPr>
              <w:t xml:space="preserve">, jeśli takie przeniesienie wpływa na koszty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związane z wypełnieniem zobowiązań wynikających z niniejszej Umowy. Jeśli </w:t>
            </w:r>
            <w:proofErr w:type="spellStart"/>
            <w:r w:rsidRPr="00755383">
              <w:rPr>
                <w:rFonts w:ascii="Calibri" w:eastAsia="Georgia" w:hAnsi="Calibri" w:cs="Calibri"/>
                <w:color w:val="000000"/>
                <w:sz w:val="14"/>
                <w:szCs w:val="14"/>
                <w:lang w:val="pl-PL"/>
              </w:rPr>
              <w:t>Sprzȩt</w:t>
            </w:r>
            <w:proofErr w:type="spellEnd"/>
            <w:r w:rsidRPr="00755383">
              <w:rPr>
                <w:rFonts w:ascii="Calibri" w:eastAsia="Georgia" w:hAnsi="Calibri" w:cs="Calibri"/>
                <w:color w:val="000000"/>
                <w:sz w:val="14"/>
                <w:szCs w:val="14"/>
                <w:lang w:val="pl-PL"/>
              </w:rPr>
              <w:t xml:space="preserve"> znajduje się poza </w:t>
            </w:r>
            <w:r w:rsidR="00DB0D4D" w:rsidRPr="00755383">
              <w:rPr>
                <w:rFonts w:ascii="Calibri" w:eastAsia="Georgia" w:hAnsi="Calibri" w:cs="Calibri"/>
                <w:color w:val="000000"/>
                <w:sz w:val="14"/>
                <w:szCs w:val="14"/>
                <w:lang w:val="pl-PL"/>
              </w:rPr>
              <w:t>Polską</w:t>
            </w:r>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może według własnego uznania świadczyć Usługi, a Klient zgadza się pokryć obowiązujące stawki za podróże i uzasadnione wydatki poniesione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lub autoryzowanego przedstawiciela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 związku z wypełnieniem zobowiązań wynikających z niniejszej Umowy.</w:t>
            </w:r>
          </w:p>
        </w:tc>
      </w:tr>
      <w:tr w:rsidR="006163B3" w:rsidRPr="00755383" w14:paraId="0E80DDEE" w14:textId="77777777" w:rsidTr="006C27F7">
        <w:trPr>
          <w:trHeight w:val="1099"/>
        </w:trPr>
        <w:tc>
          <w:tcPr>
            <w:tcW w:w="5245" w:type="dxa"/>
            <w:shd w:val="clear" w:color="auto" w:fill="auto"/>
            <w:noWrap/>
            <w:hideMark/>
          </w:tcPr>
          <w:p w14:paraId="4C5EDB68" w14:textId="0EB890C6" w:rsidR="005A0203" w:rsidRPr="00755383"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All amounts payable by the Customer under this Service Agreement are exclusive of amounts in respect of value added tax chargeable from time to time (</w:t>
            </w:r>
            <w:r w:rsidR="00152DC6" w:rsidRPr="00755383">
              <w:rPr>
                <w:rFonts w:ascii="Calibri" w:eastAsia="Georgia" w:hAnsi="Calibri" w:cs="Calibri"/>
                <w:color w:val="000000"/>
                <w:sz w:val="14"/>
                <w:szCs w:val="14"/>
              </w:rPr>
              <w:t>“</w:t>
            </w:r>
            <w:r w:rsidRPr="00755383">
              <w:rPr>
                <w:rFonts w:ascii="Calibri" w:eastAsia="Georgia" w:hAnsi="Calibri" w:cs="Calibri"/>
                <w:b/>
                <w:bCs/>
                <w:color w:val="000000"/>
                <w:sz w:val="14"/>
                <w:szCs w:val="14"/>
              </w:rPr>
              <w:t>VAT</w:t>
            </w:r>
            <w:r w:rsidR="00152DC6" w:rsidRPr="00755383">
              <w:rPr>
                <w:rFonts w:ascii="Calibri" w:eastAsia="Georgia" w:hAnsi="Calibri" w:cs="Calibri"/>
                <w:color w:val="000000"/>
                <w:sz w:val="14"/>
                <w:szCs w:val="14"/>
              </w:rPr>
              <w:t>”</w:t>
            </w:r>
            <w:r w:rsidRPr="00755383">
              <w:rPr>
                <w:rFonts w:ascii="Calibri" w:eastAsia="Georgia" w:hAnsi="Calibri" w:cs="Calibri"/>
                <w:color w:val="000000"/>
                <w:sz w:val="14"/>
                <w:szCs w:val="14"/>
              </w:rPr>
              <w:t>). Where any taxable supply for VAT purposes is made under these Customer by Videojet's to the Customer, the Customer shall, on receipt of a valid VAT invoice from Videojet, pay to Videojet such additional amounts in respect of VAT as are chargeable on the supply of the Services at the same time as payment is due for the supply of the Services.</w:t>
            </w:r>
          </w:p>
        </w:tc>
        <w:tc>
          <w:tcPr>
            <w:tcW w:w="5812" w:type="dxa"/>
            <w:shd w:val="clear" w:color="auto" w:fill="auto"/>
            <w:noWrap/>
            <w:hideMark/>
          </w:tcPr>
          <w:p w14:paraId="6E13F3E7" w14:textId="237081EA" w:rsidR="005A0203" w:rsidRPr="00755383" w:rsidRDefault="00DB0D4D"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K</w:t>
            </w:r>
            <w:r w:rsidR="005A0203" w:rsidRPr="00755383">
              <w:rPr>
                <w:rFonts w:ascii="Calibri" w:eastAsia="Georgia" w:hAnsi="Calibri" w:cs="Calibri"/>
                <w:color w:val="000000"/>
                <w:sz w:val="14"/>
                <w:szCs w:val="14"/>
                <w:lang w:val="pl-PL"/>
              </w:rPr>
              <w:t xml:space="preserve">woty do </w:t>
            </w:r>
            <w:r w:rsidRPr="00755383">
              <w:rPr>
                <w:rFonts w:ascii="Calibri" w:eastAsia="Georgia" w:hAnsi="Calibri" w:cs="Calibri"/>
                <w:color w:val="000000"/>
                <w:sz w:val="14"/>
                <w:szCs w:val="14"/>
                <w:lang w:val="pl-PL"/>
              </w:rPr>
              <w:t xml:space="preserve">zapłaty </w:t>
            </w:r>
            <w:r w:rsidR="005A0203" w:rsidRPr="00755383">
              <w:rPr>
                <w:rFonts w:ascii="Calibri" w:eastAsia="Georgia" w:hAnsi="Calibri" w:cs="Calibri"/>
                <w:color w:val="000000"/>
                <w:sz w:val="14"/>
                <w:szCs w:val="14"/>
                <w:lang w:val="pl-PL"/>
              </w:rPr>
              <w:t>przez Klienta na podstawie niniejszej Umowy o Świadczeniu Usług nie obejmują kwot związanych z podatkiem od towarów i usług (</w:t>
            </w:r>
            <w:r w:rsidR="00F87E1B">
              <w:rPr>
                <w:rFonts w:ascii="Calibri" w:eastAsia="Georgia" w:hAnsi="Calibri" w:cs="Calibri"/>
                <w:color w:val="000000"/>
                <w:sz w:val="14"/>
                <w:szCs w:val="14"/>
                <w:lang w:val="pl-PL"/>
              </w:rPr>
              <w:t>„</w:t>
            </w:r>
            <w:r w:rsidR="005A0203" w:rsidRPr="00F87E1B">
              <w:rPr>
                <w:rFonts w:ascii="Calibri" w:eastAsia="Georgia" w:hAnsi="Calibri" w:cs="Calibri"/>
                <w:b/>
                <w:bCs/>
                <w:color w:val="000000"/>
                <w:sz w:val="14"/>
                <w:szCs w:val="14"/>
                <w:lang w:val="pl-PL"/>
              </w:rPr>
              <w:t>VAT</w:t>
            </w:r>
            <w:r w:rsidR="00F87E1B">
              <w:rPr>
                <w:rFonts w:ascii="Calibri" w:eastAsia="Georgia" w:hAnsi="Calibri" w:cs="Calibri"/>
                <w:color w:val="000000"/>
                <w:sz w:val="14"/>
                <w:szCs w:val="14"/>
                <w:lang w:val="pl-PL"/>
              </w:rPr>
              <w:t>”</w:t>
            </w:r>
            <w:r w:rsidR="005A0203" w:rsidRPr="00755383">
              <w:rPr>
                <w:rFonts w:ascii="Calibri" w:eastAsia="Georgia" w:hAnsi="Calibri" w:cs="Calibri"/>
                <w:color w:val="000000"/>
                <w:sz w:val="14"/>
                <w:szCs w:val="14"/>
                <w:lang w:val="pl-PL"/>
              </w:rPr>
              <w:t xml:space="preserve">). Jeśli jakakolwiek dostawa podlegająca opodatkowaniu VAT jest dokonywana na podstawie niniejszych warunków przez </w:t>
            </w:r>
            <w:proofErr w:type="spellStart"/>
            <w:r w:rsidR="005A0203" w:rsidRPr="00755383">
              <w:rPr>
                <w:rFonts w:ascii="Calibri" w:eastAsia="Georgia" w:hAnsi="Calibri" w:cs="Calibri"/>
                <w:color w:val="000000"/>
                <w:sz w:val="14"/>
                <w:szCs w:val="14"/>
                <w:lang w:val="pl-PL"/>
              </w:rPr>
              <w:t>Videojet</w:t>
            </w:r>
            <w:proofErr w:type="spellEnd"/>
            <w:r w:rsidR="005A0203" w:rsidRPr="00755383">
              <w:rPr>
                <w:rFonts w:ascii="Calibri" w:eastAsia="Georgia" w:hAnsi="Calibri" w:cs="Calibri"/>
                <w:color w:val="000000"/>
                <w:sz w:val="14"/>
                <w:szCs w:val="14"/>
                <w:lang w:val="pl-PL"/>
              </w:rPr>
              <w:t xml:space="preserve"> na rzecz Klienta, Klient po otrzymaniu ważnej faktury VAT od </w:t>
            </w:r>
            <w:proofErr w:type="spellStart"/>
            <w:r w:rsidR="005A0203" w:rsidRPr="00755383">
              <w:rPr>
                <w:rFonts w:ascii="Calibri" w:eastAsia="Georgia" w:hAnsi="Calibri" w:cs="Calibri"/>
                <w:color w:val="000000"/>
                <w:sz w:val="14"/>
                <w:szCs w:val="14"/>
                <w:lang w:val="pl-PL"/>
              </w:rPr>
              <w:t>Videojet</w:t>
            </w:r>
            <w:proofErr w:type="spellEnd"/>
            <w:r w:rsidR="005A0203" w:rsidRPr="00755383">
              <w:rPr>
                <w:rFonts w:ascii="Calibri" w:eastAsia="Georgia" w:hAnsi="Calibri" w:cs="Calibri"/>
                <w:color w:val="000000"/>
                <w:sz w:val="14"/>
                <w:szCs w:val="14"/>
                <w:lang w:val="pl-PL"/>
              </w:rPr>
              <w:t xml:space="preserve"> zapłaci </w:t>
            </w:r>
            <w:proofErr w:type="spellStart"/>
            <w:r w:rsidR="005A0203" w:rsidRPr="00755383">
              <w:rPr>
                <w:rFonts w:ascii="Calibri" w:eastAsia="Georgia" w:hAnsi="Calibri" w:cs="Calibri"/>
                <w:color w:val="000000"/>
                <w:sz w:val="14"/>
                <w:szCs w:val="14"/>
                <w:lang w:val="pl-PL"/>
              </w:rPr>
              <w:t>Videojet</w:t>
            </w:r>
            <w:proofErr w:type="spellEnd"/>
            <w:r w:rsidR="005A0203" w:rsidRPr="00755383">
              <w:rPr>
                <w:rFonts w:ascii="Calibri" w:eastAsia="Georgia" w:hAnsi="Calibri" w:cs="Calibri"/>
                <w:color w:val="000000"/>
                <w:sz w:val="14"/>
                <w:szCs w:val="14"/>
                <w:lang w:val="pl-PL"/>
              </w:rPr>
              <w:t xml:space="preserve"> takie dodatkowe kwoty z tytułu VAT, które są należne za świadczenie Usług w tym samym czasie, co płatność za świadczenie Usług.  </w:t>
            </w:r>
          </w:p>
        </w:tc>
      </w:tr>
      <w:tr w:rsidR="006163B3" w:rsidRPr="00755383" w14:paraId="4FE743A2" w14:textId="77777777" w:rsidTr="006C27F7">
        <w:trPr>
          <w:trHeight w:val="274"/>
        </w:trPr>
        <w:tc>
          <w:tcPr>
            <w:tcW w:w="5245" w:type="dxa"/>
            <w:shd w:val="clear" w:color="auto" w:fill="auto"/>
            <w:noWrap/>
            <w:hideMark/>
          </w:tcPr>
          <w:p w14:paraId="00CEB46E" w14:textId="4968AB9C" w:rsidR="005A0203" w:rsidRPr="00755383"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Payments are not subject to setoff counterclaim, deduction, withholding (except for any deduction or withholding required by law) or recoupment for any present or future claim the Customer may have.</w:t>
            </w:r>
          </w:p>
        </w:tc>
        <w:tc>
          <w:tcPr>
            <w:tcW w:w="5812" w:type="dxa"/>
            <w:shd w:val="clear" w:color="auto" w:fill="auto"/>
            <w:noWrap/>
            <w:hideMark/>
          </w:tcPr>
          <w:p w14:paraId="14EC7F95" w14:textId="05F4EC75" w:rsidR="005A0203" w:rsidRPr="00755383" w:rsidRDefault="005A0203"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Płatności nie podlegają potrąceniom, roszczeniom wzajemnym, odliczeniom lub wstrzymani</w:t>
            </w:r>
            <w:r w:rsidR="006163B3" w:rsidRPr="00755383">
              <w:rPr>
                <w:rFonts w:ascii="Calibri" w:eastAsia="Georgia" w:hAnsi="Calibri" w:cs="Calibri"/>
                <w:color w:val="000000"/>
                <w:sz w:val="14"/>
                <w:szCs w:val="14"/>
                <w:lang w:val="pl-PL"/>
              </w:rPr>
              <w:t>e</w:t>
            </w:r>
            <w:r w:rsidRPr="00755383">
              <w:rPr>
                <w:rFonts w:ascii="Calibri" w:eastAsia="Georgia" w:hAnsi="Calibri" w:cs="Calibri"/>
                <w:color w:val="000000"/>
                <w:sz w:val="14"/>
                <w:szCs w:val="14"/>
                <w:lang w:val="pl-PL"/>
              </w:rPr>
              <w:t>m płatności (z wyjątkiem potrącenia lub wstrzymania podatku wymaganych przez prawo) ani zwrotowi za możliwe bieżące lub przyszłe roszczenie Klienta.</w:t>
            </w:r>
          </w:p>
        </w:tc>
      </w:tr>
      <w:tr w:rsidR="006163B3" w:rsidRPr="00755383" w14:paraId="4D82DAC8" w14:textId="77777777" w:rsidTr="006C27F7">
        <w:trPr>
          <w:trHeight w:val="1211"/>
        </w:trPr>
        <w:tc>
          <w:tcPr>
            <w:tcW w:w="5245" w:type="dxa"/>
            <w:shd w:val="clear" w:color="auto" w:fill="auto"/>
            <w:noWrap/>
            <w:hideMark/>
          </w:tcPr>
          <w:p w14:paraId="3349C86D" w14:textId="69E96E9E" w:rsidR="005A0203" w:rsidRPr="0039600B" w:rsidRDefault="005A0203" w:rsidP="00152DC6">
            <w:pPr>
              <w:pStyle w:val="ListParagraph"/>
              <w:numPr>
                <w:ilvl w:val="0"/>
                <w:numId w:val="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Videojet reserves the right to increase the </w:t>
            </w:r>
            <w:r w:rsidR="00152DC6" w:rsidRPr="00755383">
              <w:rPr>
                <w:rFonts w:ascii="Calibri" w:eastAsia="Georgia" w:hAnsi="Calibri" w:cs="Calibri"/>
                <w:color w:val="000000"/>
                <w:sz w:val="14"/>
                <w:szCs w:val="14"/>
              </w:rPr>
              <w:t>fees</w:t>
            </w:r>
            <w:r w:rsidRPr="00755383">
              <w:rPr>
                <w:rFonts w:ascii="Calibri" w:eastAsia="Georgia" w:hAnsi="Calibri" w:cs="Calibri"/>
                <w:color w:val="000000"/>
                <w:sz w:val="14"/>
                <w:szCs w:val="14"/>
              </w:rPr>
              <w:t xml:space="preserve"> on an annual basis with effect from each </w:t>
            </w:r>
            <w:r w:rsidRPr="0039600B">
              <w:rPr>
                <w:rFonts w:ascii="Calibri" w:eastAsia="Georgia" w:hAnsi="Calibri" w:cs="Calibri"/>
                <w:color w:val="000000"/>
                <w:sz w:val="14"/>
                <w:szCs w:val="14"/>
              </w:rPr>
              <w:t xml:space="preserve">anniversary of the commencement date of the Service Agreement in line with the percentage increase in the </w:t>
            </w:r>
            <w:r w:rsidR="0039600B" w:rsidRPr="0039600B">
              <w:rPr>
                <w:rFonts w:ascii="Calibri" w:eastAsia="Georgia" w:hAnsi="Calibri" w:cs="Calibri"/>
                <w:color w:val="000000"/>
                <w:sz w:val="14"/>
                <w:szCs w:val="14"/>
              </w:rPr>
              <w:t xml:space="preserve">Polish </w:t>
            </w:r>
            <w:r w:rsidRPr="0039600B">
              <w:rPr>
                <w:rFonts w:ascii="Calibri" w:eastAsia="Georgia" w:hAnsi="Calibri" w:cs="Calibri"/>
                <w:color w:val="000000"/>
                <w:sz w:val="14"/>
                <w:szCs w:val="14"/>
              </w:rPr>
              <w:t>Retail Prices Index in the preceding</w:t>
            </w:r>
            <w:r w:rsidR="0039600B">
              <w:rPr>
                <w:rFonts w:ascii="Calibri" w:eastAsia="Georgia" w:hAnsi="Calibri" w:cs="Calibri"/>
                <w:color w:val="000000"/>
                <w:sz w:val="14"/>
                <w:szCs w:val="14"/>
              </w:rPr>
              <w:t xml:space="preserve"> twelve</w:t>
            </w:r>
            <w:r w:rsidRPr="0039600B">
              <w:rPr>
                <w:rFonts w:ascii="Calibri" w:eastAsia="Georgia" w:hAnsi="Calibri" w:cs="Calibri"/>
                <w:color w:val="000000"/>
                <w:sz w:val="14"/>
                <w:szCs w:val="14"/>
              </w:rPr>
              <w:t xml:space="preserve"> </w:t>
            </w:r>
            <w:r w:rsidR="0039600B">
              <w:rPr>
                <w:rFonts w:ascii="Calibri" w:eastAsia="Georgia" w:hAnsi="Calibri" w:cs="Calibri"/>
                <w:color w:val="000000"/>
                <w:sz w:val="14"/>
                <w:szCs w:val="14"/>
              </w:rPr>
              <w:t>(</w:t>
            </w:r>
            <w:r w:rsidRPr="0039600B">
              <w:rPr>
                <w:rFonts w:ascii="Calibri" w:eastAsia="Georgia" w:hAnsi="Calibri" w:cs="Calibri"/>
                <w:color w:val="000000"/>
                <w:sz w:val="14"/>
                <w:szCs w:val="14"/>
              </w:rPr>
              <w:t>12</w:t>
            </w:r>
            <w:r w:rsidR="0039600B">
              <w:rPr>
                <w:rFonts w:ascii="Calibri" w:eastAsia="Georgia" w:hAnsi="Calibri" w:cs="Calibri"/>
                <w:color w:val="000000"/>
                <w:sz w:val="14"/>
                <w:szCs w:val="14"/>
              </w:rPr>
              <w:t>)</w:t>
            </w:r>
            <w:r w:rsidRPr="0039600B">
              <w:rPr>
                <w:rFonts w:ascii="Calibri" w:eastAsia="Georgia" w:hAnsi="Calibri" w:cs="Calibri"/>
                <w:color w:val="000000"/>
                <w:sz w:val="14"/>
                <w:szCs w:val="14"/>
              </w:rPr>
              <w:t xml:space="preserve"> month period and the first such increase shall take effect on the first anniversary of the commencement date of the Service Agreement and shall be based on the latest available figure for the percentage increase in the </w:t>
            </w:r>
            <w:r w:rsidR="0039600B" w:rsidRPr="0039600B">
              <w:rPr>
                <w:rFonts w:ascii="Calibri" w:eastAsia="Georgia" w:hAnsi="Calibri" w:cs="Calibri"/>
                <w:color w:val="000000"/>
                <w:sz w:val="14"/>
                <w:szCs w:val="14"/>
              </w:rPr>
              <w:t xml:space="preserve">Polish </w:t>
            </w:r>
            <w:r w:rsidRPr="0039600B">
              <w:rPr>
                <w:rFonts w:ascii="Calibri" w:eastAsia="Georgia" w:hAnsi="Calibri" w:cs="Calibri"/>
                <w:color w:val="000000"/>
                <w:sz w:val="14"/>
                <w:szCs w:val="14"/>
              </w:rPr>
              <w:t>Retail Prices Index.</w:t>
            </w:r>
          </w:p>
          <w:p w14:paraId="23A1EE7D" w14:textId="77777777" w:rsidR="0088733C" w:rsidRPr="00755383" w:rsidRDefault="0088733C" w:rsidP="0088733C">
            <w:pPr>
              <w:pStyle w:val="ListParagraph"/>
              <w:spacing w:after="0" w:line="240" w:lineRule="auto"/>
              <w:ind w:left="592"/>
              <w:jc w:val="both"/>
              <w:rPr>
                <w:rFonts w:ascii="Calibri" w:eastAsia="Georgia" w:hAnsi="Calibri" w:cs="Calibri"/>
                <w:color w:val="000000"/>
                <w:sz w:val="14"/>
                <w:szCs w:val="14"/>
              </w:rPr>
            </w:pPr>
          </w:p>
          <w:p w14:paraId="761A6E49" w14:textId="58403BFA" w:rsidR="00554DDC" w:rsidRPr="00755383" w:rsidRDefault="00554DDC" w:rsidP="00554DDC">
            <w:pPr>
              <w:pStyle w:val="ListParagraph"/>
              <w:spacing w:after="0" w:line="240" w:lineRule="auto"/>
              <w:ind w:left="592"/>
              <w:jc w:val="both"/>
              <w:rPr>
                <w:rFonts w:ascii="Calibri" w:eastAsia="Georgia" w:hAnsi="Calibri" w:cs="Calibri"/>
                <w:color w:val="000000"/>
                <w:sz w:val="14"/>
                <w:szCs w:val="14"/>
              </w:rPr>
            </w:pPr>
          </w:p>
        </w:tc>
        <w:tc>
          <w:tcPr>
            <w:tcW w:w="5812" w:type="dxa"/>
            <w:shd w:val="clear" w:color="auto" w:fill="auto"/>
            <w:noWrap/>
            <w:hideMark/>
          </w:tcPr>
          <w:p w14:paraId="6F05D32A" w14:textId="10A07662" w:rsidR="005A0203" w:rsidRPr="00755383" w:rsidRDefault="005A0203" w:rsidP="00554DDC">
            <w:pPr>
              <w:pStyle w:val="ListParagraph"/>
              <w:numPr>
                <w:ilvl w:val="0"/>
                <w:numId w:val="10"/>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zastrzega sobie prawo do corocznego zwiększania </w:t>
            </w:r>
            <w:r w:rsidR="001F6352" w:rsidRPr="00755383">
              <w:rPr>
                <w:rFonts w:ascii="Calibri" w:eastAsia="Georgia" w:hAnsi="Calibri" w:cs="Calibri"/>
                <w:color w:val="000000"/>
                <w:sz w:val="14"/>
                <w:szCs w:val="14"/>
                <w:lang w:val="pl-PL"/>
              </w:rPr>
              <w:t>Opłat</w:t>
            </w:r>
            <w:r w:rsidRPr="00755383">
              <w:rPr>
                <w:rFonts w:ascii="Calibri" w:eastAsia="Georgia" w:hAnsi="Calibri" w:cs="Calibri"/>
                <w:color w:val="000000"/>
                <w:sz w:val="14"/>
                <w:szCs w:val="14"/>
                <w:lang w:val="pl-PL"/>
              </w:rPr>
              <w:t xml:space="preserve">, począwszy od każdej rocznicy </w:t>
            </w:r>
            <w:r w:rsidRPr="0039600B">
              <w:rPr>
                <w:rFonts w:ascii="Calibri" w:eastAsia="Georgia" w:hAnsi="Calibri" w:cs="Calibri"/>
                <w:color w:val="000000"/>
                <w:sz w:val="14"/>
                <w:szCs w:val="14"/>
                <w:lang w:val="pl-PL"/>
              </w:rPr>
              <w:t xml:space="preserve">rozpoczęcia obowiązywania Umowy o Świadczeniu Usług, zgodnie z procentowym wzrostem </w:t>
            </w:r>
            <w:r w:rsidR="0039600B" w:rsidRPr="0039600B">
              <w:rPr>
                <w:rFonts w:ascii="Calibri" w:eastAsia="Georgia" w:hAnsi="Calibri" w:cs="Calibri"/>
                <w:color w:val="000000"/>
                <w:sz w:val="14"/>
                <w:szCs w:val="14"/>
                <w:lang w:val="pl-PL"/>
              </w:rPr>
              <w:t xml:space="preserve">Polski </w:t>
            </w:r>
            <w:r w:rsidRPr="0039600B">
              <w:rPr>
                <w:rFonts w:ascii="Calibri" w:eastAsia="Georgia" w:hAnsi="Calibri" w:cs="Calibri"/>
                <w:color w:val="000000"/>
                <w:sz w:val="14"/>
                <w:szCs w:val="14"/>
                <w:lang w:val="pl-PL"/>
              </w:rPr>
              <w:t xml:space="preserve">Indeksu Cen Konsumpcyjnych w okresie poprzedzających </w:t>
            </w:r>
            <w:proofErr w:type="spellStart"/>
            <w:r w:rsidR="0039600B" w:rsidRPr="0039600B">
              <w:rPr>
                <w:rFonts w:ascii="Calibri" w:eastAsia="Georgia" w:hAnsi="Calibri" w:cs="Calibri"/>
                <w:color w:val="000000"/>
                <w:sz w:val="14"/>
                <w:szCs w:val="14"/>
              </w:rPr>
              <w:t>dwanaście</w:t>
            </w:r>
            <w:proofErr w:type="spellEnd"/>
            <w:r w:rsidR="0039600B" w:rsidRPr="0039600B">
              <w:rPr>
                <w:rFonts w:ascii="Calibri" w:eastAsia="Georgia" w:hAnsi="Calibri" w:cs="Calibri"/>
                <w:color w:val="000000"/>
                <w:sz w:val="14"/>
                <w:szCs w:val="14"/>
                <w:lang w:val="pl-PL"/>
              </w:rPr>
              <w:t xml:space="preserve"> </w:t>
            </w:r>
            <w:r w:rsidR="0039600B">
              <w:rPr>
                <w:rFonts w:ascii="Calibri" w:eastAsia="Georgia" w:hAnsi="Calibri" w:cs="Calibri"/>
                <w:color w:val="000000"/>
                <w:sz w:val="14"/>
                <w:szCs w:val="14"/>
                <w:lang w:val="pl-PL"/>
              </w:rPr>
              <w:t>(</w:t>
            </w:r>
            <w:r w:rsidRPr="0039600B">
              <w:rPr>
                <w:rFonts w:ascii="Calibri" w:eastAsia="Georgia" w:hAnsi="Calibri" w:cs="Calibri"/>
                <w:color w:val="000000"/>
                <w:sz w:val="14"/>
                <w:szCs w:val="14"/>
                <w:lang w:val="pl-PL"/>
              </w:rPr>
              <w:t>12</w:t>
            </w:r>
            <w:r w:rsidR="0039600B">
              <w:rPr>
                <w:rFonts w:ascii="Calibri" w:eastAsia="Georgia" w:hAnsi="Calibri" w:cs="Calibri"/>
                <w:color w:val="000000"/>
                <w:sz w:val="14"/>
                <w:szCs w:val="14"/>
                <w:lang w:val="pl-PL"/>
              </w:rPr>
              <w:t>)</w:t>
            </w:r>
            <w:r w:rsidRPr="0039600B">
              <w:rPr>
                <w:rFonts w:ascii="Calibri" w:eastAsia="Georgia" w:hAnsi="Calibri" w:cs="Calibri"/>
                <w:color w:val="000000"/>
                <w:sz w:val="14"/>
                <w:szCs w:val="14"/>
                <w:lang w:val="pl-PL"/>
              </w:rPr>
              <w:t xml:space="preserve"> miesięcy i pierwsza taka podwyżka wejdzie w życie w pierwszą </w:t>
            </w:r>
            <w:proofErr w:type="spellStart"/>
            <w:r w:rsidRPr="0039600B">
              <w:rPr>
                <w:rFonts w:ascii="Calibri" w:eastAsia="Georgia" w:hAnsi="Calibri" w:cs="Calibri"/>
                <w:color w:val="000000"/>
                <w:sz w:val="14"/>
                <w:szCs w:val="14"/>
                <w:lang w:val="pl-PL"/>
              </w:rPr>
              <w:t>rocznicȩ</w:t>
            </w:r>
            <w:proofErr w:type="spellEnd"/>
            <w:r w:rsidRPr="0039600B">
              <w:rPr>
                <w:rFonts w:ascii="Calibri" w:eastAsia="Georgia" w:hAnsi="Calibri" w:cs="Calibri"/>
                <w:color w:val="000000"/>
                <w:sz w:val="14"/>
                <w:szCs w:val="14"/>
                <w:lang w:val="pl-PL"/>
              </w:rPr>
              <w:t xml:space="preserve"> rozpoczęcia obowiązywania Umowy o Świadczeniu Usług i </w:t>
            </w:r>
            <w:proofErr w:type="spellStart"/>
            <w:r w:rsidRPr="0039600B">
              <w:rPr>
                <w:rFonts w:ascii="Calibri" w:eastAsia="Georgia" w:hAnsi="Calibri" w:cs="Calibri"/>
                <w:color w:val="000000"/>
                <w:sz w:val="14"/>
                <w:szCs w:val="14"/>
                <w:lang w:val="pl-PL"/>
              </w:rPr>
              <w:t>bȩdzie</w:t>
            </w:r>
            <w:proofErr w:type="spellEnd"/>
            <w:r w:rsidRPr="0039600B">
              <w:rPr>
                <w:rFonts w:ascii="Calibri" w:eastAsia="Georgia" w:hAnsi="Calibri" w:cs="Calibri"/>
                <w:color w:val="000000"/>
                <w:sz w:val="14"/>
                <w:szCs w:val="14"/>
                <w:lang w:val="pl-PL"/>
              </w:rPr>
              <w:t xml:space="preserve"> oparta na ostatniej </w:t>
            </w:r>
            <w:proofErr w:type="spellStart"/>
            <w:r w:rsidRPr="0039600B">
              <w:rPr>
                <w:rFonts w:ascii="Calibri" w:eastAsia="Georgia" w:hAnsi="Calibri" w:cs="Calibri"/>
                <w:color w:val="000000"/>
                <w:sz w:val="14"/>
                <w:szCs w:val="14"/>
                <w:lang w:val="pl-PL"/>
              </w:rPr>
              <w:t>dostȩpnej</w:t>
            </w:r>
            <w:proofErr w:type="spellEnd"/>
            <w:r w:rsidRPr="0039600B">
              <w:rPr>
                <w:rFonts w:ascii="Calibri" w:eastAsia="Georgia" w:hAnsi="Calibri" w:cs="Calibri"/>
                <w:color w:val="000000"/>
                <w:sz w:val="14"/>
                <w:szCs w:val="14"/>
                <w:lang w:val="pl-PL"/>
              </w:rPr>
              <w:t xml:space="preserve"> wartości procentowego wzrostu </w:t>
            </w:r>
            <w:r w:rsidR="0039600B" w:rsidRPr="0039600B">
              <w:rPr>
                <w:rFonts w:ascii="Calibri" w:eastAsia="Georgia" w:hAnsi="Calibri" w:cs="Calibri"/>
                <w:color w:val="000000"/>
                <w:sz w:val="14"/>
                <w:szCs w:val="14"/>
                <w:lang w:val="pl-PL"/>
              </w:rPr>
              <w:t xml:space="preserve">Polski </w:t>
            </w:r>
            <w:r w:rsidRPr="0039600B">
              <w:rPr>
                <w:rFonts w:ascii="Calibri" w:eastAsia="Georgia" w:hAnsi="Calibri" w:cs="Calibri"/>
                <w:color w:val="000000"/>
                <w:sz w:val="14"/>
                <w:szCs w:val="14"/>
                <w:lang w:val="pl-PL"/>
              </w:rPr>
              <w:t>Indeksu Cen Konsumpcyjnych.</w:t>
            </w:r>
          </w:p>
        </w:tc>
      </w:tr>
      <w:tr w:rsidR="006163B3" w:rsidRPr="00755383" w14:paraId="627D91B8" w14:textId="77777777" w:rsidTr="006C27F7">
        <w:trPr>
          <w:trHeight w:val="97"/>
        </w:trPr>
        <w:tc>
          <w:tcPr>
            <w:tcW w:w="5245" w:type="dxa"/>
            <w:shd w:val="clear" w:color="auto" w:fill="auto"/>
            <w:noWrap/>
            <w:hideMark/>
          </w:tcPr>
          <w:p w14:paraId="3010137B" w14:textId="537625A2"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                The Customer's Obligations</w:t>
            </w:r>
          </w:p>
        </w:tc>
        <w:tc>
          <w:tcPr>
            <w:tcW w:w="5812" w:type="dxa"/>
            <w:shd w:val="clear" w:color="auto" w:fill="auto"/>
            <w:noWrap/>
            <w:hideMark/>
          </w:tcPr>
          <w:p w14:paraId="73C833F1"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4.                 Zobowiązania Klienta </w:t>
            </w:r>
          </w:p>
        </w:tc>
      </w:tr>
      <w:tr w:rsidR="006163B3" w:rsidRPr="00755383" w14:paraId="6AFA11C1" w14:textId="77777777" w:rsidTr="006C27F7">
        <w:trPr>
          <w:trHeight w:val="209"/>
        </w:trPr>
        <w:tc>
          <w:tcPr>
            <w:tcW w:w="5245" w:type="dxa"/>
            <w:shd w:val="clear" w:color="auto" w:fill="auto"/>
            <w:noWrap/>
            <w:hideMark/>
          </w:tcPr>
          <w:p w14:paraId="064C32B6" w14:textId="1E56091A" w:rsidR="00554DDC" w:rsidRPr="00755383" w:rsidRDefault="005A0203" w:rsidP="00554DDC">
            <w:pPr>
              <w:pStyle w:val="ListParagraph"/>
              <w:numPr>
                <w:ilvl w:val="0"/>
                <w:numId w:val="11"/>
              </w:numPr>
              <w:spacing w:after="0" w:line="240" w:lineRule="auto"/>
              <w:ind w:left="592" w:hanging="592"/>
              <w:jc w:val="both"/>
              <w:rPr>
                <w:rFonts w:ascii="Calibri" w:eastAsia="Georgia" w:hAnsi="Calibri" w:cs="Calibri"/>
                <w:color w:val="000000"/>
                <w:sz w:val="14"/>
                <w:szCs w:val="14"/>
              </w:rPr>
            </w:pPr>
            <w:r w:rsidRPr="00755383">
              <w:rPr>
                <w:rFonts w:ascii="Calibri" w:eastAsia="Georgia" w:hAnsi="Calibri" w:cs="Calibri"/>
                <w:color w:val="000000"/>
                <w:sz w:val="14"/>
                <w:szCs w:val="14"/>
              </w:rPr>
              <w:t>The Customer shall:</w:t>
            </w:r>
          </w:p>
        </w:tc>
        <w:tc>
          <w:tcPr>
            <w:tcW w:w="5812" w:type="dxa"/>
            <w:shd w:val="clear" w:color="auto" w:fill="auto"/>
            <w:noWrap/>
            <w:hideMark/>
          </w:tcPr>
          <w:p w14:paraId="3442350D" w14:textId="2071C042" w:rsidR="00554DDC" w:rsidRPr="00755383" w:rsidRDefault="005A0203" w:rsidP="00554DDC">
            <w:pPr>
              <w:pStyle w:val="ListParagraph"/>
              <w:numPr>
                <w:ilvl w:val="0"/>
                <w:numId w:val="12"/>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Klient: </w:t>
            </w:r>
          </w:p>
        </w:tc>
      </w:tr>
      <w:tr w:rsidR="006163B3" w:rsidRPr="00755383" w14:paraId="6E0F4A82" w14:textId="77777777" w:rsidTr="006C27F7">
        <w:trPr>
          <w:trHeight w:val="97"/>
        </w:trPr>
        <w:tc>
          <w:tcPr>
            <w:tcW w:w="5245" w:type="dxa"/>
            <w:shd w:val="clear" w:color="auto" w:fill="auto"/>
            <w:noWrap/>
            <w:hideMark/>
          </w:tcPr>
          <w:p w14:paraId="168817BF" w14:textId="123D7AF3" w:rsidR="00554DDC"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ensure that the information provided on the Service Agreement Order Form is complete and accurate;</w:t>
            </w:r>
          </w:p>
        </w:tc>
        <w:tc>
          <w:tcPr>
            <w:tcW w:w="5812" w:type="dxa"/>
            <w:shd w:val="clear" w:color="auto" w:fill="auto"/>
            <w:noWrap/>
            <w:hideMark/>
          </w:tcPr>
          <w:p w14:paraId="7E03ACF6" w14:textId="274A7434" w:rsidR="00554DDC"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zapewni, że informacje dostarczone w Formularzu Zamówienia Umowy o Świadczeniu Usług są kompletne i dokładne; </w:t>
            </w:r>
          </w:p>
        </w:tc>
      </w:tr>
      <w:tr w:rsidR="006163B3" w:rsidRPr="00755383" w14:paraId="6B6EC658" w14:textId="77777777" w:rsidTr="006C27F7">
        <w:trPr>
          <w:trHeight w:val="699"/>
        </w:trPr>
        <w:tc>
          <w:tcPr>
            <w:tcW w:w="5245" w:type="dxa"/>
            <w:shd w:val="clear" w:color="auto" w:fill="auto"/>
            <w:noWrap/>
            <w:hideMark/>
          </w:tcPr>
          <w:p w14:paraId="5BAA41DB" w14:textId="22B0421C"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provide Videojet, its employees, agents, consultants and subcontractors, with access to the Customer's premises, office accommodation and other facilities as reasonably required by Videojet to provide the Services and;</w:t>
            </w:r>
          </w:p>
        </w:tc>
        <w:tc>
          <w:tcPr>
            <w:tcW w:w="5812" w:type="dxa"/>
            <w:shd w:val="clear" w:color="auto" w:fill="auto"/>
            <w:noWrap/>
            <w:hideMark/>
          </w:tcPr>
          <w:p w14:paraId="2DAD464D" w14:textId="530E1A47"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zapewni firmie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jej pracownikom, agentom, konsultantom i podwykonawcom dostęp do lokali, pomieszczeń biurowych i innych obiektów Klienta, zgodnie z uzasadnionymi wymaganiami ze strony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 celu świadczenia Usług; oraz </w:t>
            </w:r>
          </w:p>
        </w:tc>
      </w:tr>
      <w:tr w:rsidR="006163B3" w:rsidRPr="00755383" w14:paraId="3918C583" w14:textId="77777777" w:rsidTr="006C27F7">
        <w:trPr>
          <w:trHeight w:val="97"/>
        </w:trPr>
        <w:tc>
          <w:tcPr>
            <w:tcW w:w="5245" w:type="dxa"/>
            <w:shd w:val="clear" w:color="auto" w:fill="auto"/>
            <w:noWrap/>
            <w:hideMark/>
          </w:tcPr>
          <w:p w14:paraId="13BC1E06" w14:textId="5EE4F959"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take the necessary precautions to ensure the health and safety of Videojet's personnel while present on the Customer's premises;</w:t>
            </w:r>
          </w:p>
        </w:tc>
        <w:tc>
          <w:tcPr>
            <w:tcW w:w="5812" w:type="dxa"/>
            <w:shd w:val="clear" w:color="auto" w:fill="auto"/>
            <w:noWrap/>
            <w:hideMark/>
          </w:tcPr>
          <w:p w14:paraId="32D88FFE" w14:textId="5F12F1BA"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podejmie niezbędne środki ostrożności w celu zapewnienia zdrowia i bezpieczeństwa personelowi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podczas przebywania w lokalach Klienta; </w:t>
            </w:r>
          </w:p>
        </w:tc>
      </w:tr>
      <w:tr w:rsidR="006163B3" w:rsidRPr="00755383" w14:paraId="6C68854B" w14:textId="77777777" w:rsidTr="006C27F7">
        <w:trPr>
          <w:trHeight w:val="97"/>
        </w:trPr>
        <w:tc>
          <w:tcPr>
            <w:tcW w:w="5245" w:type="dxa"/>
            <w:shd w:val="clear" w:color="auto" w:fill="auto"/>
            <w:noWrap/>
            <w:hideMark/>
          </w:tcPr>
          <w:p w14:paraId="065DFBF3" w14:textId="113EA89F"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provide Videojet with such access to relevant employees,  information and materials as Videojet may reasonably require in order to supply the Services, and ensure that such information is complete and accurate in all material respects;</w:t>
            </w:r>
          </w:p>
        </w:tc>
        <w:tc>
          <w:tcPr>
            <w:tcW w:w="5812" w:type="dxa"/>
            <w:shd w:val="clear" w:color="auto" w:fill="auto"/>
            <w:noWrap/>
            <w:hideMark/>
          </w:tcPr>
          <w:p w14:paraId="5E974615" w14:textId="74D067E6"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zapewni firmie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taki dostęp do odpowiednich pracowników, informacji i materiałów, jakich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może w uzasadniony sposób wymagać w celu świadczenia Usług, oraz zapewni, że takie informacje są kompletne i dokładne we wszelkich istotnych aspektach; </w:t>
            </w:r>
          </w:p>
        </w:tc>
      </w:tr>
      <w:tr w:rsidR="006163B3" w:rsidRPr="00755383" w14:paraId="7C70BF6C" w14:textId="77777777" w:rsidTr="006C27F7">
        <w:trPr>
          <w:trHeight w:val="557"/>
        </w:trPr>
        <w:tc>
          <w:tcPr>
            <w:tcW w:w="5245" w:type="dxa"/>
            <w:shd w:val="clear" w:color="auto" w:fill="auto"/>
            <w:noWrap/>
            <w:hideMark/>
          </w:tcPr>
          <w:p w14:paraId="00CE7D25" w14:textId="2BD794B5"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exercise reasonable skill and care in operation and normal maintenance of Equipment and maintain Equipment in conformance with Videojet's maintenance standards, which shall include following and performing Videojet’s recommended customer care and cleaning program between calls of Videojet's service representative;</w:t>
            </w:r>
          </w:p>
        </w:tc>
        <w:tc>
          <w:tcPr>
            <w:tcW w:w="5812" w:type="dxa"/>
            <w:shd w:val="clear" w:color="auto" w:fill="auto"/>
            <w:noWrap/>
            <w:hideMark/>
          </w:tcPr>
          <w:p w14:paraId="0CA3A154" w14:textId="7A2EE201"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wykaże się odpowiednimi umiejętnościami i starannością podczas obsługi i normalnej konserwacji Sprzętu oraz </w:t>
            </w:r>
            <w:r w:rsidR="00A11F9B" w:rsidRPr="00755383">
              <w:rPr>
                <w:rFonts w:ascii="Calibri" w:eastAsia="Georgia" w:hAnsi="Calibri" w:cs="Calibri"/>
                <w:color w:val="000000"/>
                <w:sz w:val="14"/>
                <w:szCs w:val="14"/>
                <w:lang w:val="pl-PL"/>
              </w:rPr>
              <w:t xml:space="preserve">będzie </w:t>
            </w:r>
            <w:r w:rsidRPr="00755383">
              <w:rPr>
                <w:rFonts w:ascii="Calibri" w:eastAsia="Georgia" w:hAnsi="Calibri" w:cs="Calibri"/>
                <w:color w:val="000000"/>
                <w:sz w:val="14"/>
                <w:szCs w:val="14"/>
                <w:lang w:val="pl-PL"/>
              </w:rPr>
              <w:t>utrzym</w:t>
            </w:r>
            <w:r w:rsidR="00A11F9B" w:rsidRPr="00755383">
              <w:rPr>
                <w:rFonts w:ascii="Calibri" w:eastAsia="Georgia" w:hAnsi="Calibri" w:cs="Calibri"/>
                <w:color w:val="000000"/>
                <w:sz w:val="14"/>
                <w:szCs w:val="14"/>
                <w:lang w:val="pl-PL"/>
              </w:rPr>
              <w:t>ywać</w:t>
            </w:r>
            <w:r w:rsidRPr="00755383">
              <w:rPr>
                <w:rFonts w:ascii="Calibri" w:eastAsia="Georgia" w:hAnsi="Calibri" w:cs="Calibri"/>
                <w:color w:val="000000"/>
                <w:sz w:val="14"/>
                <w:szCs w:val="14"/>
                <w:lang w:val="pl-PL"/>
              </w:rPr>
              <w:t xml:space="preserve"> sprzęt zgodnie ze standardami konserwacji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co obejmuje przestrzeganie i wykonywanie zaleconego programu obsługi klienta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oraz program</w:t>
            </w:r>
            <w:r w:rsidR="00A11F9B" w:rsidRPr="00755383">
              <w:rPr>
                <w:rFonts w:ascii="Calibri" w:eastAsia="Georgia" w:hAnsi="Calibri" w:cs="Calibri"/>
                <w:color w:val="000000"/>
                <w:sz w:val="14"/>
                <w:szCs w:val="14"/>
                <w:lang w:val="pl-PL"/>
              </w:rPr>
              <w:t>u</w:t>
            </w:r>
            <w:r w:rsidRPr="00755383">
              <w:rPr>
                <w:rFonts w:ascii="Calibri" w:eastAsia="Georgia" w:hAnsi="Calibri" w:cs="Calibri"/>
                <w:color w:val="000000"/>
                <w:sz w:val="14"/>
                <w:szCs w:val="14"/>
                <w:lang w:val="pl-PL"/>
              </w:rPr>
              <w:t xml:space="preserve"> czyszczenia </w:t>
            </w:r>
            <w:proofErr w:type="spellStart"/>
            <w:r w:rsidRPr="00755383">
              <w:rPr>
                <w:rFonts w:ascii="Calibri" w:eastAsia="Georgia" w:hAnsi="Calibri" w:cs="Calibri"/>
                <w:color w:val="000000"/>
                <w:sz w:val="14"/>
                <w:szCs w:val="14"/>
                <w:lang w:val="pl-PL"/>
              </w:rPr>
              <w:t>pomiȩdzy</w:t>
            </w:r>
            <w:proofErr w:type="spellEnd"/>
            <w:r w:rsidRPr="00755383">
              <w:rPr>
                <w:rFonts w:ascii="Calibri" w:eastAsia="Georgia" w:hAnsi="Calibri" w:cs="Calibri"/>
                <w:color w:val="000000"/>
                <w:sz w:val="14"/>
                <w:szCs w:val="14"/>
                <w:lang w:val="pl-PL"/>
              </w:rPr>
              <w:t xml:space="preserve"> wizytami przedstawiciela serwisowego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p>
        </w:tc>
      </w:tr>
      <w:tr w:rsidR="006163B3" w:rsidRPr="00755383" w14:paraId="1D52B81B" w14:textId="77777777" w:rsidTr="006C27F7">
        <w:trPr>
          <w:trHeight w:val="97"/>
        </w:trPr>
        <w:tc>
          <w:tcPr>
            <w:tcW w:w="5245" w:type="dxa"/>
            <w:shd w:val="clear" w:color="auto" w:fill="auto"/>
            <w:noWrap/>
            <w:hideMark/>
          </w:tcPr>
          <w:p w14:paraId="0C6C8883" w14:textId="0870BF65"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operate Equipment within Videojet’s published specifications (including, without limitation, all environmental specifications);</w:t>
            </w:r>
          </w:p>
        </w:tc>
        <w:tc>
          <w:tcPr>
            <w:tcW w:w="5812" w:type="dxa"/>
            <w:shd w:val="clear" w:color="auto" w:fill="auto"/>
            <w:noWrap/>
            <w:hideMark/>
          </w:tcPr>
          <w:p w14:paraId="3ABDC59C" w14:textId="73A13F84"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będzie obsługiwać Sprzęt zgodnie z opublikowanymi specyfikacjami</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(w tym m.in. innymi specyfikacjami w zakresie środowiska);</w:t>
            </w:r>
          </w:p>
        </w:tc>
      </w:tr>
      <w:tr w:rsidR="006163B3" w:rsidRPr="00755383" w14:paraId="228D68A5" w14:textId="77777777" w:rsidTr="006C27F7">
        <w:trPr>
          <w:trHeight w:val="97"/>
        </w:trPr>
        <w:tc>
          <w:tcPr>
            <w:tcW w:w="5245" w:type="dxa"/>
            <w:shd w:val="clear" w:color="auto" w:fill="auto"/>
            <w:noWrap/>
            <w:hideMark/>
          </w:tcPr>
          <w:p w14:paraId="096DB3C3" w14:textId="686B3EC9"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properly maintain installation site and operating environment;</w:t>
            </w:r>
          </w:p>
        </w:tc>
        <w:tc>
          <w:tcPr>
            <w:tcW w:w="5812" w:type="dxa"/>
            <w:shd w:val="clear" w:color="auto" w:fill="auto"/>
            <w:noWrap/>
            <w:hideMark/>
          </w:tcPr>
          <w:p w14:paraId="5095EC0C" w14:textId="0C0E8E3D"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prawidłowo utrzym</w:t>
            </w:r>
            <w:r w:rsidR="00A11F9B" w:rsidRPr="00755383">
              <w:rPr>
                <w:rFonts w:ascii="Calibri" w:eastAsia="Georgia" w:hAnsi="Calibri" w:cs="Calibri"/>
                <w:color w:val="000000"/>
                <w:sz w:val="14"/>
                <w:szCs w:val="14"/>
                <w:lang w:val="pl-PL"/>
              </w:rPr>
              <w:t>ywać będzie</w:t>
            </w:r>
            <w:r w:rsidRPr="00755383">
              <w:rPr>
                <w:rFonts w:ascii="Calibri" w:eastAsia="Georgia" w:hAnsi="Calibri" w:cs="Calibri"/>
                <w:color w:val="000000"/>
                <w:sz w:val="14"/>
                <w:szCs w:val="14"/>
                <w:lang w:val="pl-PL"/>
              </w:rPr>
              <w:t xml:space="preserve"> miejsce instalacji i środowisko operacyjne; </w:t>
            </w:r>
          </w:p>
        </w:tc>
      </w:tr>
      <w:tr w:rsidR="006163B3" w:rsidRPr="00755383" w14:paraId="6753F008" w14:textId="77777777" w:rsidTr="006C27F7">
        <w:trPr>
          <w:trHeight w:val="97"/>
        </w:trPr>
        <w:tc>
          <w:tcPr>
            <w:tcW w:w="5245" w:type="dxa"/>
            <w:shd w:val="clear" w:color="auto" w:fill="auto"/>
            <w:noWrap/>
            <w:hideMark/>
          </w:tcPr>
          <w:p w14:paraId="25F44514" w14:textId="75548E97"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provide necessary utility services for use of Equipment in accordance with Videojet's specifications;</w:t>
            </w:r>
          </w:p>
        </w:tc>
        <w:tc>
          <w:tcPr>
            <w:tcW w:w="5812" w:type="dxa"/>
            <w:shd w:val="clear" w:color="auto" w:fill="auto"/>
            <w:noWrap/>
            <w:hideMark/>
          </w:tcPr>
          <w:p w14:paraId="270AE084" w14:textId="25736133"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zapewni niezbędne usługi użyteczności publicznej </w:t>
            </w:r>
            <w:r w:rsidR="00A11F9B" w:rsidRPr="00755383">
              <w:rPr>
                <w:rFonts w:ascii="Calibri" w:eastAsia="Georgia" w:hAnsi="Calibri" w:cs="Calibri"/>
                <w:color w:val="000000"/>
                <w:sz w:val="14"/>
                <w:szCs w:val="14"/>
                <w:lang w:val="pl-PL"/>
              </w:rPr>
              <w:t xml:space="preserve">(media) </w:t>
            </w:r>
            <w:r w:rsidRPr="00755383">
              <w:rPr>
                <w:rFonts w:ascii="Calibri" w:eastAsia="Georgia" w:hAnsi="Calibri" w:cs="Calibri"/>
                <w:color w:val="000000"/>
                <w:sz w:val="14"/>
                <w:szCs w:val="14"/>
                <w:lang w:val="pl-PL"/>
              </w:rPr>
              <w:t>w celu korzystania ze Sprzętu zgodnie ze specyfikacjami</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p>
        </w:tc>
      </w:tr>
      <w:tr w:rsidR="006163B3" w:rsidRPr="00755383" w14:paraId="6CE29C82" w14:textId="77777777" w:rsidTr="006C27F7">
        <w:trPr>
          <w:trHeight w:val="97"/>
        </w:trPr>
        <w:tc>
          <w:tcPr>
            <w:tcW w:w="5245" w:type="dxa"/>
            <w:shd w:val="clear" w:color="auto" w:fill="auto"/>
            <w:noWrap/>
            <w:hideMark/>
          </w:tcPr>
          <w:p w14:paraId="1A2C5912" w14:textId="47EF346F"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use only Videojet branded consumables and fluids with the Equipment; and</w:t>
            </w:r>
          </w:p>
        </w:tc>
        <w:tc>
          <w:tcPr>
            <w:tcW w:w="5812" w:type="dxa"/>
            <w:shd w:val="clear" w:color="auto" w:fill="auto"/>
            <w:noWrap/>
            <w:hideMark/>
          </w:tcPr>
          <w:p w14:paraId="3261CC2D" w14:textId="6F5B4F00"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będzie używać do </w:t>
            </w:r>
            <w:proofErr w:type="spellStart"/>
            <w:r w:rsidRPr="00755383">
              <w:rPr>
                <w:rFonts w:ascii="Calibri" w:eastAsia="Georgia" w:hAnsi="Calibri" w:cs="Calibri"/>
                <w:color w:val="000000"/>
                <w:sz w:val="14"/>
                <w:szCs w:val="14"/>
                <w:lang w:val="pl-PL"/>
              </w:rPr>
              <w:t>Sprzȩtu</w:t>
            </w:r>
            <w:proofErr w:type="spellEnd"/>
            <w:r w:rsidRPr="00755383">
              <w:rPr>
                <w:rFonts w:ascii="Calibri" w:eastAsia="Georgia" w:hAnsi="Calibri" w:cs="Calibri"/>
                <w:color w:val="000000"/>
                <w:sz w:val="14"/>
                <w:szCs w:val="14"/>
                <w:lang w:val="pl-PL"/>
              </w:rPr>
              <w:t xml:space="preserve"> wyłącznie materiałów eksploatacyjnych i płynów marki</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oraz </w:t>
            </w:r>
          </w:p>
        </w:tc>
      </w:tr>
      <w:tr w:rsidR="006163B3" w:rsidRPr="00755383" w14:paraId="44C30034" w14:textId="77777777" w:rsidTr="006C27F7">
        <w:trPr>
          <w:trHeight w:val="97"/>
        </w:trPr>
        <w:tc>
          <w:tcPr>
            <w:tcW w:w="5245" w:type="dxa"/>
            <w:shd w:val="clear" w:color="auto" w:fill="auto"/>
            <w:noWrap/>
            <w:hideMark/>
          </w:tcPr>
          <w:p w14:paraId="4C9B0FFA" w14:textId="3EBB70A6" w:rsidR="005A0203" w:rsidRPr="00755383" w:rsidRDefault="005A0203" w:rsidP="00554DDC">
            <w:pPr>
              <w:pStyle w:val="ListParagraph"/>
              <w:numPr>
                <w:ilvl w:val="0"/>
                <w:numId w:val="13"/>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co-operate with Videojet in all matters relating to the Services and obtain and maintain all necessary licences, permissions and consents which may be required before the date on which the Services are to start.</w:t>
            </w:r>
          </w:p>
        </w:tc>
        <w:tc>
          <w:tcPr>
            <w:tcW w:w="5812" w:type="dxa"/>
            <w:shd w:val="clear" w:color="auto" w:fill="auto"/>
            <w:noWrap/>
            <w:hideMark/>
          </w:tcPr>
          <w:p w14:paraId="73C0C142" w14:textId="1CF2B621" w:rsidR="005A0203" w:rsidRPr="00755383" w:rsidRDefault="005A0203" w:rsidP="00554DDC">
            <w:pPr>
              <w:pStyle w:val="ListParagraph"/>
              <w:numPr>
                <w:ilvl w:val="0"/>
                <w:numId w:val="14"/>
              </w:numPr>
              <w:spacing w:after="0" w:line="240" w:lineRule="auto"/>
              <w:ind w:left="1172" w:hanging="709"/>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bȩdzie</w:t>
            </w:r>
            <w:proofErr w:type="spellEnd"/>
            <w:r w:rsidRPr="00755383">
              <w:rPr>
                <w:rFonts w:ascii="Calibri" w:eastAsia="Georgia" w:hAnsi="Calibri" w:cs="Calibri"/>
                <w:color w:val="000000"/>
                <w:sz w:val="14"/>
                <w:szCs w:val="14"/>
                <w:lang w:val="pl-PL"/>
              </w:rPr>
              <w:t xml:space="preserve"> współpracować z</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we wszystkich sprawach związanych z Usługami oraz uzyska i utrzyma wszystkie niezbędne licencje, pozwolenia i zgody, które mogą być wymagane przed datą rozpoczęcia świadczenia Usług.</w:t>
            </w:r>
          </w:p>
        </w:tc>
      </w:tr>
      <w:tr w:rsidR="006163B3" w:rsidRPr="00755383" w14:paraId="597EF2A5" w14:textId="77777777" w:rsidTr="006C27F7">
        <w:trPr>
          <w:trHeight w:val="97"/>
        </w:trPr>
        <w:tc>
          <w:tcPr>
            <w:tcW w:w="5245" w:type="dxa"/>
            <w:shd w:val="clear" w:color="auto" w:fill="auto"/>
            <w:noWrap/>
            <w:hideMark/>
          </w:tcPr>
          <w:p w14:paraId="07EBB538" w14:textId="1DAA9AFF" w:rsidR="005A0203" w:rsidRPr="00755383" w:rsidRDefault="005A0203" w:rsidP="00554DDC">
            <w:pPr>
              <w:pStyle w:val="ListParagraph"/>
              <w:numPr>
                <w:ilvl w:val="0"/>
                <w:numId w:val="11"/>
              </w:numPr>
              <w:spacing w:after="0" w:line="240" w:lineRule="auto"/>
              <w:ind w:left="592" w:hanging="592"/>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If Videojet’s performance of any of its obligations hereunder is prevented or delayed by any act or omission by the Customer or failure by the Customer to perform any relevant obligation ("</w:t>
            </w:r>
            <w:r w:rsidRPr="00755383">
              <w:rPr>
                <w:rFonts w:ascii="Calibri" w:eastAsia="Georgia" w:hAnsi="Calibri" w:cs="Calibri"/>
                <w:b/>
                <w:bCs/>
                <w:color w:val="000000"/>
                <w:sz w:val="14"/>
                <w:szCs w:val="14"/>
              </w:rPr>
              <w:t>Customer Default</w:t>
            </w:r>
            <w:r w:rsidRPr="00755383">
              <w:rPr>
                <w:rFonts w:ascii="Calibri" w:eastAsia="Georgia" w:hAnsi="Calibri" w:cs="Calibri"/>
                <w:color w:val="000000"/>
                <w:sz w:val="14"/>
                <w:szCs w:val="14"/>
              </w:rPr>
              <w:t>"):</w:t>
            </w:r>
          </w:p>
        </w:tc>
        <w:tc>
          <w:tcPr>
            <w:tcW w:w="5812" w:type="dxa"/>
            <w:shd w:val="clear" w:color="auto" w:fill="auto"/>
            <w:noWrap/>
            <w:hideMark/>
          </w:tcPr>
          <w:p w14:paraId="7893CF27" w14:textId="062D2159" w:rsidR="005A0203" w:rsidRPr="00755383" w:rsidRDefault="005A0203" w:rsidP="00554DDC">
            <w:pPr>
              <w:pStyle w:val="ListParagraph"/>
              <w:numPr>
                <w:ilvl w:val="0"/>
                <w:numId w:val="12"/>
              </w:numPr>
              <w:spacing w:after="0" w:line="240" w:lineRule="auto"/>
              <w:ind w:left="463" w:hanging="463"/>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Jeśli wykonanie przez</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któregokolwiek z jej zobowiązań wynikających z niniejszej Umowy zostanie uniemożliwione lub opóźnione przez jakiekolwiek działanie, lub zaniechanie ze strony Klienta, lub niewykonanie przez Klienta któregokolwiek istotnego zobowiązania („</w:t>
            </w:r>
            <w:r w:rsidRPr="00755383">
              <w:rPr>
                <w:rFonts w:ascii="Calibri" w:eastAsia="Georgia" w:hAnsi="Calibri" w:cs="Calibri"/>
                <w:b/>
                <w:bCs/>
                <w:color w:val="000000"/>
                <w:sz w:val="14"/>
                <w:szCs w:val="14"/>
                <w:lang w:val="pl-PL"/>
              </w:rPr>
              <w:t>Uchybienie Klienta</w:t>
            </w:r>
            <w:r w:rsidRPr="00755383">
              <w:rPr>
                <w:rFonts w:ascii="Calibri" w:eastAsia="Georgia" w:hAnsi="Calibri" w:cs="Calibri"/>
                <w:color w:val="000000"/>
                <w:sz w:val="14"/>
                <w:szCs w:val="14"/>
                <w:lang w:val="pl-PL"/>
              </w:rPr>
              <w:t>”) to:</w:t>
            </w:r>
          </w:p>
        </w:tc>
      </w:tr>
      <w:tr w:rsidR="006163B3" w:rsidRPr="00755383" w14:paraId="57BEB36F" w14:textId="77777777" w:rsidTr="006C27F7">
        <w:trPr>
          <w:trHeight w:val="97"/>
        </w:trPr>
        <w:tc>
          <w:tcPr>
            <w:tcW w:w="5245" w:type="dxa"/>
            <w:shd w:val="clear" w:color="auto" w:fill="auto"/>
            <w:noWrap/>
            <w:hideMark/>
          </w:tcPr>
          <w:p w14:paraId="762F77EF" w14:textId="33E20A19" w:rsidR="00333254" w:rsidRPr="00755383" w:rsidRDefault="005A0203" w:rsidP="00333254">
            <w:pPr>
              <w:pStyle w:val="ListParagraph"/>
              <w:numPr>
                <w:ilvl w:val="0"/>
                <w:numId w:val="15"/>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without limiting or affecting any other right or remedy available to it, Videojet shall have the right to suspend performance of the Services until the Customer remedies the Customer Default, and to rely on the Customer Default to relieve it from the performance of any of its obligations in each case to the extent the Customer Default prevents or delays the Videojet’s performance of any of its obligations;</w:t>
            </w:r>
          </w:p>
        </w:tc>
        <w:tc>
          <w:tcPr>
            <w:tcW w:w="5812" w:type="dxa"/>
            <w:shd w:val="clear" w:color="auto" w:fill="auto"/>
            <w:noWrap/>
            <w:hideMark/>
          </w:tcPr>
          <w:p w14:paraId="19E976A2" w14:textId="2C78F1A8" w:rsidR="005A0203" w:rsidRPr="00755383" w:rsidRDefault="005A0203" w:rsidP="00333254">
            <w:pPr>
              <w:pStyle w:val="ListParagraph"/>
              <w:numPr>
                <w:ilvl w:val="0"/>
                <w:numId w:val="16"/>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bez ograniczenia lub wpływu na jakiekolwiek inne przysługujące jej prawa lub środki ochrony prawnej,</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ma prawo zawiesić świadczenie Usług do czasu naprawienia przez Klienta jego Uchybienia oraz </w:t>
            </w:r>
            <w:r w:rsidR="003E3CE1" w:rsidRPr="00755383">
              <w:rPr>
                <w:rFonts w:ascii="Calibri" w:eastAsia="Georgia" w:hAnsi="Calibri" w:cs="Calibri"/>
                <w:color w:val="000000"/>
                <w:sz w:val="14"/>
                <w:szCs w:val="14"/>
                <w:lang w:val="pl-PL"/>
              </w:rPr>
              <w:t>powołać się</w:t>
            </w:r>
            <w:r w:rsidRPr="00755383">
              <w:rPr>
                <w:rFonts w:ascii="Calibri" w:eastAsia="Georgia" w:hAnsi="Calibri" w:cs="Calibri"/>
                <w:color w:val="000000"/>
                <w:sz w:val="14"/>
                <w:szCs w:val="14"/>
                <w:lang w:val="pl-PL"/>
              </w:rPr>
              <w:t xml:space="preserve"> na Uchybieni</w:t>
            </w:r>
            <w:r w:rsidR="003E3CE1" w:rsidRPr="00755383">
              <w:rPr>
                <w:rFonts w:ascii="Calibri" w:eastAsia="Georgia" w:hAnsi="Calibri" w:cs="Calibri"/>
                <w:color w:val="000000"/>
                <w:sz w:val="14"/>
                <w:szCs w:val="14"/>
                <w:lang w:val="pl-PL"/>
              </w:rPr>
              <w:t>e</w:t>
            </w:r>
            <w:r w:rsidRPr="00755383">
              <w:rPr>
                <w:rFonts w:ascii="Calibri" w:eastAsia="Georgia" w:hAnsi="Calibri" w:cs="Calibri"/>
                <w:color w:val="000000"/>
                <w:sz w:val="14"/>
                <w:szCs w:val="14"/>
                <w:lang w:val="pl-PL"/>
              </w:rPr>
              <w:t xml:space="preserve"> Klienta w celu </w:t>
            </w:r>
            <w:r w:rsidR="003E3CE1" w:rsidRPr="00755383">
              <w:rPr>
                <w:rFonts w:ascii="Calibri" w:eastAsia="Georgia" w:hAnsi="Calibri" w:cs="Calibri"/>
                <w:color w:val="000000"/>
                <w:sz w:val="14"/>
                <w:szCs w:val="14"/>
                <w:lang w:val="pl-PL"/>
              </w:rPr>
              <w:t>zawieszenia</w:t>
            </w:r>
            <w:r w:rsidRPr="00755383">
              <w:rPr>
                <w:rFonts w:ascii="Calibri" w:eastAsia="Georgia" w:hAnsi="Calibri" w:cs="Calibri"/>
                <w:color w:val="000000"/>
                <w:sz w:val="14"/>
                <w:szCs w:val="14"/>
                <w:lang w:val="pl-PL"/>
              </w:rPr>
              <w:t xml:space="preserve"> wykonywania któregokolwiek ze swoich zobowiązań, w zakresie, w jakim Uchybienie Klienta uniemożliwia lub opóźnia wykonanie przez</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któregokolwiek z jej obowiązków;</w:t>
            </w:r>
          </w:p>
          <w:p w14:paraId="1618FD6B" w14:textId="0E42209A" w:rsidR="00333254" w:rsidRPr="00755383" w:rsidRDefault="00333254" w:rsidP="00333254">
            <w:pPr>
              <w:spacing w:after="0" w:line="240" w:lineRule="auto"/>
              <w:jc w:val="both"/>
              <w:rPr>
                <w:rFonts w:ascii="Calibri" w:eastAsia="Times New Roman" w:hAnsi="Calibri" w:cs="Calibri"/>
                <w:color w:val="000000"/>
                <w:sz w:val="14"/>
                <w:szCs w:val="14"/>
                <w:lang w:val="pl-PL"/>
              </w:rPr>
            </w:pPr>
          </w:p>
        </w:tc>
      </w:tr>
      <w:tr w:rsidR="006163B3" w:rsidRPr="00755383" w14:paraId="5E79E475" w14:textId="77777777" w:rsidTr="00B67C48">
        <w:trPr>
          <w:trHeight w:val="560"/>
        </w:trPr>
        <w:tc>
          <w:tcPr>
            <w:tcW w:w="5245" w:type="dxa"/>
            <w:shd w:val="clear" w:color="auto" w:fill="auto"/>
            <w:noWrap/>
            <w:hideMark/>
          </w:tcPr>
          <w:p w14:paraId="49F680B1" w14:textId="1865768E" w:rsidR="005A0203" w:rsidRPr="00755383" w:rsidRDefault="005A0203" w:rsidP="00333254">
            <w:pPr>
              <w:pStyle w:val="ListParagraph"/>
              <w:numPr>
                <w:ilvl w:val="0"/>
                <w:numId w:val="15"/>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shall not be liable for any costs or losses sustained or incurred by the Customer arising directly or indirectly from the Videojet’s failure or delay to perform any of its obligations as set out in this clause 4(b); and</w:t>
            </w:r>
          </w:p>
        </w:tc>
        <w:tc>
          <w:tcPr>
            <w:tcW w:w="5812" w:type="dxa"/>
            <w:shd w:val="clear" w:color="auto" w:fill="auto"/>
            <w:noWrap/>
            <w:hideMark/>
          </w:tcPr>
          <w:p w14:paraId="10B3D833" w14:textId="336980E3" w:rsidR="005A0203" w:rsidRPr="00755383" w:rsidRDefault="009111D1" w:rsidP="00333254">
            <w:pPr>
              <w:pStyle w:val="ListParagraph"/>
              <w:numPr>
                <w:ilvl w:val="0"/>
                <w:numId w:val="16"/>
              </w:numPr>
              <w:spacing w:after="0" w:line="240" w:lineRule="auto"/>
              <w:ind w:left="1172" w:hanging="709"/>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r w:rsidR="005A0203" w:rsidRPr="00755383">
              <w:rPr>
                <w:rFonts w:ascii="Calibri" w:eastAsia="Georgia" w:hAnsi="Calibri" w:cs="Calibri"/>
                <w:color w:val="000000"/>
                <w:sz w:val="14"/>
                <w:szCs w:val="14"/>
                <w:lang w:val="pl-PL"/>
              </w:rPr>
              <w:t>nie ponosi odpowiedzialności za jakiekolwiek koszty lub straty lub poniesione przez Klienta, wynikające bezpośrednio, lub pośrednio z Uchybienia Klienta, lub opóźnienia</w:t>
            </w:r>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r w:rsidR="005A0203" w:rsidRPr="00755383">
              <w:rPr>
                <w:rFonts w:ascii="Calibri" w:eastAsia="Georgia" w:hAnsi="Calibri" w:cs="Calibri"/>
                <w:color w:val="000000"/>
                <w:sz w:val="14"/>
                <w:szCs w:val="14"/>
                <w:lang w:val="pl-PL"/>
              </w:rPr>
              <w:t xml:space="preserve">w wykonywaniu któregokolwiek z jej zobowiązań, określonych w niniejszym ust. 4(b); oraz </w:t>
            </w:r>
          </w:p>
        </w:tc>
      </w:tr>
      <w:tr w:rsidR="006163B3" w:rsidRPr="00755383" w14:paraId="5A439AF9" w14:textId="77777777" w:rsidTr="006C27F7">
        <w:trPr>
          <w:trHeight w:val="831"/>
        </w:trPr>
        <w:tc>
          <w:tcPr>
            <w:tcW w:w="5245" w:type="dxa"/>
            <w:shd w:val="clear" w:color="auto" w:fill="auto"/>
            <w:noWrap/>
            <w:hideMark/>
          </w:tcPr>
          <w:p w14:paraId="31B1D4EC" w14:textId="31C1C400" w:rsidR="005A0203" w:rsidRPr="00755383" w:rsidRDefault="005A0203" w:rsidP="00333254">
            <w:pPr>
              <w:pStyle w:val="ListParagraph"/>
              <w:numPr>
                <w:ilvl w:val="0"/>
                <w:numId w:val="15"/>
              </w:numPr>
              <w:spacing w:after="0" w:line="240" w:lineRule="auto"/>
              <w:ind w:left="1301" w:hanging="709"/>
              <w:jc w:val="both"/>
              <w:rPr>
                <w:rFonts w:ascii="Calibri" w:eastAsia="Georgia" w:hAnsi="Calibri" w:cs="Calibri"/>
                <w:color w:val="000000"/>
                <w:sz w:val="14"/>
                <w:szCs w:val="14"/>
              </w:rPr>
            </w:pPr>
            <w:r w:rsidRPr="00755383">
              <w:rPr>
                <w:rFonts w:ascii="Calibri" w:eastAsia="Georgia" w:hAnsi="Calibri" w:cs="Calibri"/>
                <w:color w:val="000000"/>
                <w:sz w:val="14"/>
                <w:szCs w:val="14"/>
              </w:rPr>
              <w:lastRenderedPageBreak/>
              <w:t>the Customer shall reimburse Videojet on written demand for any costs or losses sustained or incurred by Videojet arising directly or indirectly from the Customer Default.</w:t>
            </w:r>
          </w:p>
          <w:p w14:paraId="718900CC" w14:textId="77777777" w:rsidR="00333254" w:rsidRPr="00755383" w:rsidRDefault="00333254" w:rsidP="00333254">
            <w:pPr>
              <w:pStyle w:val="ListParagraph"/>
              <w:spacing w:after="0" w:line="240" w:lineRule="auto"/>
              <w:ind w:left="1301"/>
              <w:jc w:val="both"/>
              <w:rPr>
                <w:rFonts w:ascii="Calibri" w:eastAsia="Georgia" w:hAnsi="Calibri" w:cs="Calibri"/>
                <w:color w:val="000000"/>
                <w:sz w:val="14"/>
                <w:szCs w:val="14"/>
              </w:rPr>
            </w:pPr>
          </w:p>
          <w:p w14:paraId="053E44BC" w14:textId="1AFB31CA" w:rsidR="00333254" w:rsidRPr="00755383" w:rsidRDefault="00333254" w:rsidP="00333254">
            <w:pPr>
              <w:pStyle w:val="ListParagraph"/>
              <w:spacing w:after="0" w:line="240" w:lineRule="auto"/>
              <w:ind w:left="1301"/>
              <w:jc w:val="both"/>
              <w:rPr>
                <w:rFonts w:ascii="Calibri" w:eastAsia="Georgia" w:hAnsi="Calibri" w:cs="Calibri"/>
                <w:color w:val="000000"/>
                <w:sz w:val="14"/>
                <w:szCs w:val="14"/>
              </w:rPr>
            </w:pPr>
          </w:p>
        </w:tc>
        <w:tc>
          <w:tcPr>
            <w:tcW w:w="5812" w:type="dxa"/>
            <w:shd w:val="clear" w:color="auto" w:fill="auto"/>
            <w:noWrap/>
            <w:hideMark/>
          </w:tcPr>
          <w:p w14:paraId="40DF86CF" w14:textId="718260A0" w:rsidR="005A0203" w:rsidRPr="00755383" w:rsidRDefault="000725AF" w:rsidP="00333254">
            <w:pPr>
              <w:pStyle w:val="ListParagraph"/>
              <w:numPr>
                <w:ilvl w:val="0"/>
                <w:numId w:val="16"/>
              </w:numPr>
              <w:spacing w:after="0" w:line="240" w:lineRule="auto"/>
              <w:ind w:left="1172" w:hanging="709"/>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na pisemne żądanie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r w:rsidR="005A0203" w:rsidRPr="00755383">
              <w:rPr>
                <w:rFonts w:ascii="Calibri" w:eastAsia="Georgia" w:hAnsi="Calibri" w:cs="Calibri"/>
                <w:color w:val="000000"/>
                <w:sz w:val="14"/>
                <w:szCs w:val="14"/>
                <w:lang w:val="pl-PL"/>
              </w:rPr>
              <w:t>Klient zwróci</w:t>
            </w:r>
            <w:r w:rsidR="009111D1" w:rsidRPr="00755383">
              <w:rPr>
                <w:rFonts w:ascii="Calibri" w:eastAsia="Georgia" w:hAnsi="Calibri" w:cs="Calibri"/>
                <w:color w:val="000000"/>
                <w:sz w:val="14"/>
                <w:szCs w:val="14"/>
                <w:lang w:val="pl-PL"/>
              </w:rPr>
              <w:t xml:space="preserve"> </w:t>
            </w:r>
            <w:r w:rsidR="005A0203" w:rsidRPr="00755383">
              <w:rPr>
                <w:rFonts w:ascii="Calibri" w:eastAsia="Georgia" w:hAnsi="Calibri" w:cs="Calibri"/>
                <w:color w:val="000000"/>
                <w:sz w:val="14"/>
                <w:szCs w:val="14"/>
                <w:lang w:val="pl-PL"/>
              </w:rPr>
              <w:t>wszelkie koszty lub straty</w:t>
            </w:r>
            <w:r w:rsidR="00171304" w:rsidRPr="00755383">
              <w:rPr>
                <w:rFonts w:ascii="Calibri" w:eastAsia="Georgia" w:hAnsi="Calibri" w:cs="Calibri"/>
                <w:color w:val="000000"/>
                <w:sz w:val="14"/>
                <w:szCs w:val="14"/>
                <w:lang w:val="pl-PL"/>
              </w:rPr>
              <w:t xml:space="preserve"> </w:t>
            </w:r>
            <w:r w:rsidR="005A0203" w:rsidRPr="00755383">
              <w:rPr>
                <w:rFonts w:ascii="Calibri" w:eastAsia="Georgia" w:hAnsi="Calibri" w:cs="Calibri"/>
                <w:color w:val="000000"/>
                <w:sz w:val="14"/>
                <w:szCs w:val="14"/>
                <w:lang w:val="pl-PL"/>
              </w:rPr>
              <w:t xml:space="preserve">poniesione przez </w:t>
            </w:r>
            <w:proofErr w:type="spellStart"/>
            <w:r w:rsidR="00171304" w:rsidRPr="00755383">
              <w:rPr>
                <w:rFonts w:ascii="Calibri" w:eastAsia="Georgia" w:hAnsi="Calibri" w:cs="Calibri"/>
                <w:color w:val="000000"/>
                <w:sz w:val="14"/>
                <w:szCs w:val="14"/>
                <w:lang w:val="pl-PL"/>
              </w:rPr>
              <w:t>Videojet</w:t>
            </w:r>
            <w:proofErr w:type="spellEnd"/>
            <w:r w:rsidR="005A0203" w:rsidRPr="00755383">
              <w:rPr>
                <w:rFonts w:ascii="Calibri" w:eastAsia="Georgia" w:hAnsi="Calibri" w:cs="Calibri"/>
                <w:color w:val="000000"/>
                <w:sz w:val="14"/>
                <w:szCs w:val="14"/>
                <w:lang w:val="pl-PL"/>
              </w:rPr>
              <w:t>, wynikające bezpośrednio, lub pośrednio z Uchybienia Klienta.</w:t>
            </w:r>
          </w:p>
        </w:tc>
      </w:tr>
      <w:tr w:rsidR="006163B3" w:rsidRPr="00755383" w14:paraId="7C5F1295" w14:textId="77777777" w:rsidTr="006C27F7">
        <w:trPr>
          <w:trHeight w:val="81"/>
        </w:trPr>
        <w:tc>
          <w:tcPr>
            <w:tcW w:w="5245" w:type="dxa"/>
            <w:shd w:val="clear" w:color="auto" w:fill="auto"/>
            <w:noWrap/>
            <w:hideMark/>
          </w:tcPr>
          <w:p w14:paraId="6E9D323F"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5.                 Limited Warranty</w:t>
            </w:r>
          </w:p>
        </w:tc>
        <w:tc>
          <w:tcPr>
            <w:tcW w:w="5812" w:type="dxa"/>
            <w:shd w:val="clear" w:color="auto" w:fill="auto"/>
            <w:noWrap/>
            <w:hideMark/>
          </w:tcPr>
          <w:p w14:paraId="1F9D9B64"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5.                 Ograniczona gwarancja  </w:t>
            </w:r>
          </w:p>
        </w:tc>
      </w:tr>
      <w:tr w:rsidR="006163B3" w:rsidRPr="00755383" w14:paraId="0D9B9AE6" w14:textId="77777777" w:rsidTr="006C27F7">
        <w:trPr>
          <w:trHeight w:val="254"/>
        </w:trPr>
        <w:tc>
          <w:tcPr>
            <w:tcW w:w="5245" w:type="dxa"/>
            <w:shd w:val="clear" w:color="auto" w:fill="auto"/>
            <w:noWrap/>
            <w:hideMark/>
          </w:tcPr>
          <w:p w14:paraId="6658D45D" w14:textId="7ADA8533" w:rsidR="00333254" w:rsidRPr="005E14F4" w:rsidRDefault="005A0203" w:rsidP="005E14F4">
            <w:pPr>
              <w:pStyle w:val="ListParagraph"/>
              <w:numPr>
                <w:ilvl w:val="0"/>
                <w:numId w:val="17"/>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warrants the Services strictly as provided for in the Service Agreement.</w:t>
            </w:r>
          </w:p>
        </w:tc>
        <w:tc>
          <w:tcPr>
            <w:tcW w:w="5812" w:type="dxa"/>
            <w:shd w:val="clear" w:color="auto" w:fill="auto"/>
            <w:noWrap/>
            <w:hideMark/>
          </w:tcPr>
          <w:p w14:paraId="78D7E5E6" w14:textId="1AB13B81" w:rsidR="005A0203" w:rsidRPr="00755383" w:rsidRDefault="009111D1" w:rsidP="00333254">
            <w:pPr>
              <w:pStyle w:val="ListParagraph"/>
              <w:numPr>
                <w:ilvl w:val="0"/>
                <w:numId w:val="18"/>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005A0203" w:rsidRPr="00755383">
              <w:rPr>
                <w:rFonts w:ascii="Calibri" w:eastAsia="Georgia" w:hAnsi="Calibri" w:cs="Calibri"/>
                <w:color w:val="000000"/>
                <w:sz w:val="14"/>
                <w:szCs w:val="14"/>
                <w:lang w:val="pl-PL"/>
              </w:rPr>
              <w:t xml:space="preserve"> gwarantuje, że Usługi są ściśle zgodne z postanowieniami Umowy o Świadczeniu Usług. </w:t>
            </w:r>
          </w:p>
        </w:tc>
      </w:tr>
      <w:tr w:rsidR="006163B3" w:rsidRPr="00755383" w14:paraId="605BF5A8" w14:textId="77777777" w:rsidTr="006C27F7">
        <w:trPr>
          <w:trHeight w:val="97"/>
        </w:trPr>
        <w:tc>
          <w:tcPr>
            <w:tcW w:w="5245" w:type="dxa"/>
            <w:shd w:val="clear" w:color="auto" w:fill="auto"/>
            <w:noWrap/>
            <w:hideMark/>
          </w:tcPr>
          <w:p w14:paraId="3C352CB5" w14:textId="2F9D17D7" w:rsidR="005A0203" w:rsidRPr="00755383" w:rsidRDefault="005A0203" w:rsidP="00333254">
            <w:pPr>
              <w:pStyle w:val="ListParagraph"/>
              <w:numPr>
                <w:ilvl w:val="0"/>
                <w:numId w:val="17"/>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Certain printing applications may be regulated by applicable laws, such as applications where ink may come into contact with medical devices, pharmaceuticals, cosmetics, food or other substances intended for consumption, or veterinary health products. It is the Customer’s obligation to comply with and to ensure that the performance of the terms of this Service Agreement comply with all applicable laws and regulations. Videojet shall not be responsible for any compliance with any laws applicable to the Customer.  The Customer shall indemnify Videojet for any losses it suffers as a result of the Customer's non-compliance under this clause 5(b).</w:t>
            </w:r>
          </w:p>
          <w:p w14:paraId="38A84E3A" w14:textId="77777777" w:rsidR="00333254" w:rsidRPr="00755383" w:rsidRDefault="00333254" w:rsidP="00333254">
            <w:pPr>
              <w:pStyle w:val="ListParagraph"/>
              <w:spacing w:after="0" w:line="240" w:lineRule="auto"/>
              <w:ind w:left="592"/>
              <w:jc w:val="both"/>
              <w:rPr>
                <w:rFonts w:ascii="Calibri" w:eastAsia="Georgia" w:hAnsi="Calibri" w:cs="Calibri"/>
                <w:color w:val="000000"/>
                <w:sz w:val="14"/>
                <w:szCs w:val="14"/>
              </w:rPr>
            </w:pPr>
          </w:p>
          <w:p w14:paraId="2592243A" w14:textId="2FF09948" w:rsidR="00333254" w:rsidRPr="00755383" w:rsidRDefault="00333254" w:rsidP="00336BB8">
            <w:pPr>
              <w:spacing w:after="0" w:line="240" w:lineRule="auto"/>
              <w:jc w:val="both"/>
              <w:rPr>
                <w:rFonts w:ascii="Calibri" w:eastAsia="Times New Roman" w:hAnsi="Calibri" w:cs="Calibri"/>
                <w:color w:val="000000"/>
                <w:sz w:val="14"/>
                <w:szCs w:val="14"/>
              </w:rPr>
            </w:pPr>
          </w:p>
        </w:tc>
        <w:tc>
          <w:tcPr>
            <w:tcW w:w="5812" w:type="dxa"/>
            <w:shd w:val="clear" w:color="auto" w:fill="auto"/>
            <w:noWrap/>
            <w:hideMark/>
          </w:tcPr>
          <w:p w14:paraId="6EC5BF26" w14:textId="77777777" w:rsidR="00713EF2" w:rsidRDefault="005A0203" w:rsidP="00333254">
            <w:pPr>
              <w:pStyle w:val="ListParagraph"/>
              <w:numPr>
                <w:ilvl w:val="0"/>
                <w:numId w:val="18"/>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Niektóre zastosowania poligraficzne mogą podlegać obowiązującym przepisom, np. zastosowania, w których tusz może wejść w kontakt z urządzeniami medycznymi, lekami, kosmetykami, żywnością lub innymi substancjami przeznaczonymi do spożycia, lub weterynaryjnymi produktami leczniczymi. Obowiązkiem Klienta jest przestrzeganie i zapewnienie, że wykonywanie postanowień niniejszej Umowy o Świadczeniu Usług jest zgodne z obowiązującymi przepisami prawa i regulacjami.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nie ponosi odpowiedzialności za wszelką</w:t>
            </w:r>
            <w:r w:rsidR="006163B3"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zgodność z jakimikolwiek przepisami mającymi zastosowanie do Klienta. Klient zwolni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z odpowiedzialności za wszelkie straty, jakie poniesie w wyniku nieprzestrzegania przez Klienta niniejszego ust. 5(b).</w:t>
            </w:r>
          </w:p>
          <w:p w14:paraId="72848129" w14:textId="0C352B2B" w:rsidR="00F13F55" w:rsidRPr="00755383" w:rsidRDefault="00F13F55" w:rsidP="00F13F55">
            <w:pPr>
              <w:pStyle w:val="ListParagraph"/>
              <w:spacing w:after="0" w:line="240" w:lineRule="auto"/>
              <w:ind w:left="463"/>
              <w:jc w:val="both"/>
              <w:rPr>
                <w:rFonts w:ascii="Calibri" w:eastAsia="Georgia" w:hAnsi="Calibri" w:cs="Calibri"/>
                <w:color w:val="000000"/>
                <w:sz w:val="14"/>
                <w:szCs w:val="14"/>
                <w:lang w:val="pl-PL"/>
              </w:rPr>
            </w:pPr>
          </w:p>
        </w:tc>
      </w:tr>
      <w:tr w:rsidR="006163B3" w:rsidRPr="00755383" w14:paraId="4B023652" w14:textId="77777777" w:rsidTr="006C27F7">
        <w:trPr>
          <w:trHeight w:val="107"/>
        </w:trPr>
        <w:tc>
          <w:tcPr>
            <w:tcW w:w="5245" w:type="dxa"/>
            <w:shd w:val="clear" w:color="auto" w:fill="auto"/>
            <w:noWrap/>
            <w:hideMark/>
          </w:tcPr>
          <w:p w14:paraId="42EC204C"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6.                 Confidentiality</w:t>
            </w:r>
          </w:p>
        </w:tc>
        <w:tc>
          <w:tcPr>
            <w:tcW w:w="5812" w:type="dxa"/>
            <w:shd w:val="clear" w:color="auto" w:fill="auto"/>
            <w:noWrap/>
            <w:hideMark/>
          </w:tcPr>
          <w:p w14:paraId="779FDD85"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6.                 Poufność </w:t>
            </w:r>
          </w:p>
        </w:tc>
      </w:tr>
      <w:tr w:rsidR="006163B3" w:rsidRPr="00755383" w14:paraId="40B89FD8" w14:textId="77777777" w:rsidTr="006C27F7">
        <w:trPr>
          <w:trHeight w:val="416"/>
        </w:trPr>
        <w:tc>
          <w:tcPr>
            <w:tcW w:w="5245" w:type="dxa"/>
            <w:shd w:val="clear" w:color="auto" w:fill="auto"/>
            <w:noWrap/>
            <w:hideMark/>
          </w:tcPr>
          <w:p w14:paraId="104929B7" w14:textId="617DBE94" w:rsidR="005A0203" w:rsidRPr="00755383" w:rsidRDefault="005A0203" w:rsidP="00333254">
            <w:pPr>
              <w:pStyle w:val="ListParagraph"/>
              <w:numPr>
                <w:ilvl w:val="0"/>
                <w:numId w:val="19"/>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 party ("</w:t>
            </w:r>
            <w:r w:rsidR="00F13F55" w:rsidRPr="00F13F55">
              <w:rPr>
                <w:rFonts w:ascii="Calibri" w:eastAsia="Georgia" w:hAnsi="Calibri" w:cs="Calibri"/>
                <w:b/>
                <w:bCs/>
                <w:color w:val="000000"/>
                <w:sz w:val="14"/>
                <w:szCs w:val="14"/>
              </w:rPr>
              <w:t>R</w:t>
            </w:r>
            <w:r w:rsidRPr="00755383">
              <w:rPr>
                <w:rFonts w:ascii="Calibri" w:eastAsia="Georgia" w:hAnsi="Calibri" w:cs="Calibri"/>
                <w:b/>
                <w:bCs/>
                <w:color w:val="000000"/>
                <w:sz w:val="14"/>
                <w:szCs w:val="14"/>
              </w:rPr>
              <w:t xml:space="preserve">eceiving </w:t>
            </w:r>
            <w:r w:rsidR="00F13F55">
              <w:rPr>
                <w:rFonts w:ascii="Calibri" w:eastAsia="Georgia" w:hAnsi="Calibri" w:cs="Calibri"/>
                <w:b/>
                <w:bCs/>
                <w:color w:val="000000"/>
                <w:sz w:val="14"/>
                <w:szCs w:val="14"/>
              </w:rPr>
              <w:t>P</w:t>
            </w:r>
            <w:r w:rsidRPr="00755383">
              <w:rPr>
                <w:rFonts w:ascii="Calibri" w:eastAsia="Georgia" w:hAnsi="Calibri" w:cs="Calibri"/>
                <w:b/>
                <w:bCs/>
                <w:color w:val="000000"/>
                <w:sz w:val="14"/>
                <w:szCs w:val="14"/>
              </w:rPr>
              <w:t>arty</w:t>
            </w:r>
            <w:r w:rsidRPr="00755383">
              <w:rPr>
                <w:rFonts w:ascii="Calibri" w:eastAsia="Georgia" w:hAnsi="Calibri" w:cs="Calibri"/>
                <w:color w:val="000000"/>
                <w:sz w:val="14"/>
                <w:szCs w:val="14"/>
              </w:rPr>
              <w:t xml:space="preserve">") shall keep in strict confidence all technical or commercial know-how, specifications, inventions, processes or initiatives which are of a confidential nature and have been disclosed to the </w:t>
            </w:r>
            <w:r w:rsidR="00F13F55">
              <w:rPr>
                <w:rFonts w:ascii="Calibri" w:eastAsia="Georgia" w:hAnsi="Calibri" w:cs="Calibri"/>
                <w:color w:val="000000"/>
                <w:sz w:val="14"/>
                <w:szCs w:val="14"/>
              </w:rPr>
              <w:t>R</w:t>
            </w:r>
            <w:r w:rsidRPr="00755383">
              <w:rPr>
                <w:rFonts w:ascii="Calibri" w:eastAsia="Georgia" w:hAnsi="Calibri" w:cs="Calibri"/>
                <w:color w:val="000000"/>
                <w:sz w:val="14"/>
                <w:szCs w:val="14"/>
              </w:rPr>
              <w:t xml:space="preserve">eceiving </w:t>
            </w:r>
            <w:r w:rsidR="00F13F55">
              <w:rPr>
                <w:rFonts w:ascii="Calibri" w:eastAsia="Georgia" w:hAnsi="Calibri" w:cs="Calibri"/>
                <w:color w:val="000000"/>
                <w:sz w:val="14"/>
                <w:szCs w:val="14"/>
              </w:rPr>
              <w:t>P</w:t>
            </w:r>
            <w:r w:rsidRPr="00755383">
              <w:rPr>
                <w:rFonts w:ascii="Calibri" w:eastAsia="Georgia" w:hAnsi="Calibri" w:cs="Calibri"/>
                <w:color w:val="000000"/>
                <w:sz w:val="14"/>
                <w:szCs w:val="14"/>
              </w:rPr>
              <w:t>arty by the other party (“</w:t>
            </w:r>
            <w:r w:rsidR="00F13F55" w:rsidRPr="00F13F55">
              <w:rPr>
                <w:rFonts w:ascii="Calibri" w:eastAsia="Georgia" w:hAnsi="Calibri" w:cs="Calibri"/>
                <w:b/>
                <w:bCs/>
                <w:color w:val="000000"/>
                <w:sz w:val="14"/>
                <w:szCs w:val="14"/>
              </w:rPr>
              <w:t>D</w:t>
            </w:r>
            <w:r w:rsidRPr="00F13F55">
              <w:rPr>
                <w:rFonts w:ascii="Calibri" w:eastAsia="Georgia" w:hAnsi="Calibri" w:cs="Calibri"/>
                <w:b/>
                <w:bCs/>
                <w:color w:val="000000"/>
                <w:sz w:val="14"/>
                <w:szCs w:val="14"/>
              </w:rPr>
              <w:t xml:space="preserve">isclosing </w:t>
            </w:r>
            <w:r w:rsidR="00F13F55" w:rsidRPr="00F13F55">
              <w:rPr>
                <w:rFonts w:ascii="Calibri" w:eastAsia="Georgia" w:hAnsi="Calibri" w:cs="Calibri"/>
                <w:b/>
                <w:bCs/>
                <w:color w:val="000000"/>
                <w:sz w:val="14"/>
                <w:szCs w:val="14"/>
              </w:rPr>
              <w:t>P</w:t>
            </w:r>
            <w:r w:rsidRPr="00F13F55">
              <w:rPr>
                <w:rFonts w:ascii="Calibri" w:eastAsia="Georgia" w:hAnsi="Calibri" w:cs="Calibri"/>
                <w:b/>
                <w:bCs/>
                <w:color w:val="000000"/>
                <w:sz w:val="14"/>
                <w:szCs w:val="14"/>
              </w:rPr>
              <w:t>arty</w:t>
            </w:r>
            <w:r w:rsidRPr="00755383">
              <w:rPr>
                <w:rFonts w:ascii="Calibri" w:eastAsia="Georgia" w:hAnsi="Calibri" w:cs="Calibri"/>
                <w:color w:val="000000"/>
                <w:sz w:val="14"/>
                <w:szCs w:val="14"/>
              </w:rPr>
              <w:t xml:space="preserve">"), its employees, agents or subcontractors, and any other confidential information concerning the disclosing party's business, its products and services which the </w:t>
            </w:r>
            <w:r w:rsidR="00F13F55">
              <w:rPr>
                <w:rFonts w:ascii="Calibri" w:eastAsia="Georgia" w:hAnsi="Calibri" w:cs="Calibri"/>
                <w:color w:val="000000"/>
                <w:sz w:val="14"/>
                <w:szCs w:val="14"/>
              </w:rPr>
              <w:t>R</w:t>
            </w:r>
            <w:r w:rsidRPr="00755383">
              <w:rPr>
                <w:rFonts w:ascii="Calibri" w:eastAsia="Georgia" w:hAnsi="Calibri" w:cs="Calibri"/>
                <w:color w:val="000000"/>
                <w:sz w:val="14"/>
                <w:szCs w:val="14"/>
              </w:rPr>
              <w:t xml:space="preserve">eceiving </w:t>
            </w:r>
            <w:r w:rsidR="00F13F55">
              <w:rPr>
                <w:rFonts w:ascii="Calibri" w:eastAsia="Georgia" w:hAnsi="Calibri" w:cs="Calibri"/>
                <w:color w:val="000000"/>
                <w:sz w:val="14"/>
                <w:szCs w:val="14"/>
              </w:rPr>
              <w:t>P</w:t>
            </w:r>
            <w:r w:rsidRPr="00755383">
              <w:rPr>
                <w:rFonts w:ascii="Calibri" w:eastAsia="Georgia" w:hAnsi="Calibri" w:cs="Calibri"/>
                <w:color w:val="000000"/>
                <w:sz w:val="14"/>
                <w:szCs w:val="14"/>
              </w:rPr>
              <w:t>arty may obtain.</w:t>
            </w:r>
          </w:p>
          <w:p w14:paraId="2EEABD22" w14:textId="2BCDC69C" w:rsidR="00333254" w:rsidRPr="00755383" w:rsidRDefault="00333254" w:rsidP="00333254">
            <w:pPr>
              <w:pStyle w:val="ListParagraph"/>
              <w:spacing w:after="0" w:line="240" w:lineRule="auto"/>
              <w:ind w:left="1250"/>
              <w:jc w:val="both"/>
              <w:rPr>
                <w:rFonts w:ascii="Calibri" w:eastAsia="Times New Roman" w:hAnsi="Calibri" w:cs="Calibri"/>
                <w:color w:val="000000"/>
                <w:sz w:val="14"/>
                <w:szCs w:val="14"/>
              </w:rPr>
            </w:pPr>
          </w:p>
        </w:tc>
        <w:tc>
          <w:tcPr>
            <w:tcW w:w="5812" w:type="dxa"/>
            <w:shd w:val="clear" w:color="auto" w:fill="auto"/>
            <w:noWrap/>
            <w:hideMark/>
          </w:tcPr>
          <w:p w14:paraId="2B73A6F0" w14:textId="4BFD247A" w:rsidR="005A0203" w:rsidRPr="00755383" w:rsidRDefault="005A0203" w:rsidP="00333254">
            <w:pPr>
              <w:pStyle w:val="ListParagraph"/>
              <w:numPr>
                <w:ilvl w:val="0"/>
                <w:numId w:val="20"/>
              </w:numPr>
              <w:spacing w:after="0" w:line="240" w:lineRule="auto"/>
              <w:ind w:left="463" w:hanging="425"/>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Strona („</w:t>
            </w:r>
            <w:r w:rsidR="00F13F55" w:rsidRPr="00F13F55">
              <w:rPr>
                <w:rFonts w:ascii="Calibri" w:eastAsia="Georgia" w:hAnsi="Calibri" w:cs="Calibri"/>
                <w:b/>
                <w:bCs/>
                <w:color w:val="000000"/>
                <w:sz w:val="14"/>
                <w:szCs w:val="14"/>
                <w:lang w:val="pl-PL"/>
              </w:rPr>
              <w:t>S</w:t>
            </w:r>
            <w:r w:rsidRPr="00755383">
              <w:rPr>
                <w:rFonts w:ascii="Calibri" w:eastAsia="Georgia" w:hAnsi="Calibri" w:cs="Calibri"/>
                <w:b/>
                <w:bCs/>
                <w:color w:val="000000"/>
                <w:sz w:val="14"/>
                <w:szCs w:val="14"/>
                <w:lang w:val="pl-PL"/>
              </w:rPr>
              <w:t xml:space="preserve">trona </w:t>
            </w:r>
            <w:r w:rsidR="00F13F55">
              <w:rPr>
                <w:rFonts w:ascii="Calibri" w:eastAsia="Georgia" w:hAnsi="Calibri" w:cs="Calibri"/>
                <w:b/>
                <w:bCs/>
                <w:color w:val="000000"/>
                <w:sz w:val="14"/>
                <w:szCs w:val="14"/>
                <w:lang w:val="pl-PL"/>
              </w:rPr>
              <w:t>O</w:t>
            </w:r>
            <w:r w:rsidRPr="00755383">
              <w:rPr>
                <w:rFonts w:ascii="Calibri" w:eastAsia="Georgia" w:hAnsi="Calibri" w:cs="Calibri"/>
                <w:b/>
                <w:bCs/>
                <w:color w:val="000000"/>
                <w:sz w:val="14"/>
                <w:szCs w:val="14"/>
                <w:lang w:val="pl-PL"/>
              </w:rPr>
              <w:t>trzymująca</w:t>
            </w:r>
            <w:r w:rsidRPr="00755383">
              <w:rPr>
                <w:rFonts w:ascii="Calibri" w:eastAsia="Georgia" w:hAnsi="Calibri" w:cs="Calibri"/>
                <w:color w:val="000000"/>
                <w:sz w:val="14"/>
                <w:szCs w:val="14"/>
                <w:lang w:val="pl-PL"/>
              </w:rPr>
              <w:t xml:space="preserve">”) zachowa w ścisłej poufności wszelkie techniczne lub handlowe know-how, specyfikacje, wynalazki, procesy lub inicjatywy, które mają charakter poufny i zostały ujawnione </w:t>
            </w:r>
            <w:r w:rsidR="00F13F55">
              <w:rPr>
                <w:rFonts w:ascii="Calibri" w:eastAsia="Georgia" w:hAnsi="Calibri" w:cs="Calibri"/>
                <w:color w:val="000000"/>
                <w:sz w:val="14"/>
                <w:szCs w:val="14"/>
                <w:lang w:val="pl-PL"/>
              </w:rPr>
              <w:t>S</w:t>
            </w:r>
            <w:r w:rsidRPr="00755383">
              <w:rPr>
                <w:rFonts w:ascii="Calibri" w:eastAsia="Georgia" w:hAnsi="Calibri" w:cs="Calibri"/>
                <w:color w:val="000000"/>
                <w:sz w:val="14"/>
                <w:szCs w:val="14"/>
                <w:lang w:val="pl-PL"/>
              </w:rPr>
              <w:t xml:space="preserve">tronie </w:t>
            </w:r>
            <w:r w:rsidR="00F13F55">
              <w:rPr>
                <w:rFonts w:ascii="Calibri" w:eastAsia="Georgia" w:hAnsi="Calibri" w:cs="Calibri"/>
                <w:color w:val="000000"/>
                <w:sz w:val="14"/>
                <w:szCs w:val="14"/>
                <w:lang w:val="pl-PL"/>
              </w:rPr>
              <w:t>O</w:t>
            </w:r>
            <w:r w:rsidRPr="00755383">
              <w:rPr>
                <w:rFonts w:ascii="Calibri" w:eastAsia="Georgia" w:hAnsi="Calibri" w:cs="Calibri"/>
                <w:color w:val="000000"/>
                <w:sz w:val="14"/>
                <w:szCs w:val="14"/>
                <w:lang w:val="pl-PL"/>
              </w:rPr>
              <w:t xml:space="preserve">trzymującej przez drugą </w:t>
            </w:r>
            <w:proofErr w:type="spellStart"/>
            <w:r w:rsidRPr="00755383">
              <w:rPr>
                <w:rFonts w:ascii="Calibri" w:eastAsia="Georgia" w:hAnsi="Calibri" w:cs="Calibri"/>
                <w:color w:val="000000"/>
                <w:sz w:val="14"/>
                <w:szCs w:val="14"/>
                <w:lang w:val="pl-PL"/>
              </w:rPr>
              <w:t>stronȩ</w:t>
            </w:r>
            <w:proofErr w:type="spellEnd"/>
            <w:r w:rsidRPr="00755383">
              <w:rPr>
                <w:rFonts w:ascii="Calibri" w:eastAsia="Georgia" w:hAnsi="Calibri" w:cs="Calibri"/>
                <w:color w:val="000000"/>
                <w:sz w:val="14"/>
                <w:szCs w:val="14"/>
                <w:lang w:val="pl-PL"/>
              </w:rPr>
              <w:t xml:space="preserve"> („</w:t>
            </w:r>
            <w:proofErr w:type="spellStart"/>
            <w:r w:rsidR="00F13F55" w:rsidRPr="00F13F55">
              <w:rPr>
                <w:rFonts w:ascii="Calibri" w:eastAsia="Georgia" w:hAnsi="Calibri" w:cs="Calibri"/>
                <w:b/>
                <w:bCs/>
                <w:color w:val="000000"/>
                <w:sz w:val="14"/>
                <w:szCs w:val="14"/>
                <w:lang w:val="pl-PL"/>
              </w:rPr>
              <w:t>S</w:t>
            </w:r>
            <w:r w:rsidRPr="00755383">
              <w:rPr>
                <w:rFonts w:ascii="Calibri" w:eastAsia="Georgia" w:hAnsi="Calibri" w:cs="Calibri"/>
                <w:b/>
                <w:bCs/>
                <w:color w:val="000000"/>
                <w:sz w:val="14"/>
                <w:szCs w:val="14"/>
                <w:lang w:val="pl-PL"/>
              </w:rPr>
              <w:t>tronȩ</w:t>
            </w:r>
            <w:proofErr w:type="spellEnd"/>
            <w:r w:rsidRPr="00755383">
              <w:rPr>
                <w:rFonts w:ascii="Calibri" w:eastAsia="Georgia" w:hAnsi="Calibri" w:cs="Calibri"/>
                <w:b/>
                <w:bCs/>
                <w:color w:val="000000"/>
                <w:sz w:val="14"/>
                <w:szCs w:val="14"/>
                <w:lang w:val="pl-PL"/>
              </w:rPr>
              <w:t xml:space="preserve"> </w:t>
            </w:r>
            <w:r w:rsidR="00F13F55">
              <w:rPr>
                <w:rFonts w:ascii="Calibri" w:eastAsia="Georgia" w:hAnsi="Calibri" w:cs="Calibri"/>
                <w:b/>
                <w:bCs/>
                <w:color w:val="000000"/>
                <w:sz w:val="14"/>
                <w:szCs w:val="14"/>
                <w:lang w:val="pl-PL"/>
              </w:rPr>
              <w:t>U</w:t>
            </w:r>
            <w:r w:rsidRPr="00755383">
              <w:rPr>
                <w:rFonts w:ascii="Calibri" w:eastAsia="Georgia" w:hAnsi="Calibri" w:cs="Calibri"/>
                <w:b/>
                <w:bCs/>
                <w:color w:val="000000"/>
                <w:sz w:val="14"/>
                <w:szCs w:val="14"/>
                <w:lang w:val="pl-PL"/>
              </w:rPr>
              <w:t>jawniającą</w:t>
            </w:r>
            <w:r w:rsidRPr="00755383">
              <w:rPr>
                <w:rFonts w:ascii="Calibri" w:eastAsia="Georgia" w:hAnsi="Calibri" w:cs="Calibri"/>
                <w:color w:val="000000"/>
                <w:sz w:val="14"/>
                <w:szCs w:val="14"/>
                <w:lang w:val="pl-PL"/>
              </w:rPr>
              <w:t xml:space="preserve">”), jej pracowników, agentów lub podwykonawców oraz wszelkie inne informacje poufne dotyczące działalności strony ujawniającej, jej produktów i usług, do których </w:t>
            </w:r>
            <w:r w:rsidR="00F13F55">
              <w:rPr>
                <w:rFonts w:ascii="Calibri" w:eastAsia="Georgia" w:hAnsi="Calibri" w:cs="Calibri"/>
                <w:color w:val="000000"/>
                <w:sz w:val="14"/>
                <w:szCs w:val="14"/>
                <w:lang w:val="pl-PL"/>
              </w:rPr>
              <w:t>S</w:t>
            </w:r>
            <w:r w:rsidRPr="00755383">
              <w:rPr>
                <w:rFonts w:ascii="Calibri" w:eastAsia="Georgia" w:hAnsi="Calibri" w:cs="Calibri"/>
                <w:color w:val="000000"/>
                <w:sz w:val="14"/>
                <w:szCs w:val="14"/>
                <w:lang w:val="pl-PL"/>
              </w:rPr>
              <w:t xml:space="preserve">trona </w:t>
            </w:r>
            <w:r w:rsidR="00F13F55">
              <w:rPr>
                <w:rFonts w:ascii="Calibri" w:eastAsia="Georgia" w:hAnsi="Calibri" w:cs="Calibri"/>
                <w:color w:val="000000"/>
                <w:sz w:val="14"/>
                <w:szCs w:val="14"/>
                <w:lang w:val="pl-PL"/>
              </w:rPr>
              <w:t>O</w:t>
            </w:r>
            <w:r w:rsidRPr="00755383">
              <w:rPr>
                <w:rFonts w:ascii="Calibri" w:eastAsia="Georgia" w:hAnsi="Calibri" w:cs="Calibri"/>
                <w:color w:val="000000"/>
                <w:sz w:val="14"/>
                <w:szCs w:val="14"/>
                <w:lang w:val="pl-PL"/>
              </w:rPr>
              <w:t xml:space="preserve">trzymująca może uzyskać </w:t>
            </w:r>
            <w:proofErr w:type="spellStart"/>
            <w:r w:rsidRPr="00755383">
              <w:rPr>
                <w:rFonts w:ascii="Calibri" w:eastAsia="Georgia" w:hAnsi="Calibri" w:cs="Calibri"/>
                <w:color w:val="000000"/>
                <w:sz w:val="14"/>
                <w:szCs w:val="14"/>
                <w:lang w:val="pl-PL"/>
              </w:rPr>
              <w:t>dostȩp</w:t>
            </w:r>
            <w:proofErr w:type="spellEnd"/>
            <w:r w:rsidRPr="00755383">
              <w:rPr>
                <w:rFonts w:ascii="Calibri" w:eastAsia="Georgia" w:hAnsi="Calibri" w:cs="Calibri"/>
                <w:color w:val="000000"/>
                <w:sz w:val="14"/>
                <w:szCs w:val="14"/>
                <w:lang w:val="pl-PL"/>
              </w:rPr>
              <w:t xml:space="preserve">. </w:t>
            </w:r>
          </w:p>
          <w:p w14:paraId="7E6696EB" w14:textId="7C9CEE6C" w:rsidR="00333254" w:rsidRPr="00755383" w:rsidRDefault="00333254" w:rsidP="00333254">
            <w:pPr>
              <w:pStyle w:val="ListParagraph"/>
              <w:spacing w:after="0" w:line="240" w:lineRule="auto"/>
              <w:ind w:left="1310"/>
              <w:jc w:val="both"/>
              <w:rPr>
                <w:rFonts w:ascii="Calibri" w:eastAsia="Times New Roman" w:hAnsi="Calibri" w:cs="Calibri"/>
                <w:color w:val="000000"/>
                <w:sz w:val="14"/>
                <w:szCs w:val="14"/>
                <w:lang w:val="pl-PL"/>
              </w:rPr>
            </w:pPr>
          </w:p>
        </w:tc>
      </w:tr>
      <w:tr w:rsidR="006163B3" w:rsidRPr="00755383" w14:paraId="25A02E90" w14:textId="77777777" w:rsidTr="006C27F7">
        <w:trPr>
          <w:trHeight w:val="557"/>
        </w:trPr>
        <w:tc>
          <w:tcPr>
            <w:tcW w:w="5245" w:type="dxa"/>
            <w:shd w:val="clear" w:color="auto" w:fill="auto"/>
            <w:noWrap/>
            <w:hideMark/>
          </w:tcPr>
          <w:p w14:paraId="32A199FB" w14:textId="3E29FA33" w:rsidR="005A0203" w:rsidRPr="00755383" w:rsidRDefault="005A0203" w:rsidP="00333254">
            <w:pPr>
              <w:pStyle w:val="ListParagraph"/>
              <w:numPr>
                <w:ilvl w:val="0"/>
                <w:numId w:val="19"/>
              </w:numPr>
              <w:spacing w:after="0" w:line="240" w:lineRule="auto"/>
              <w:ind w:left="592" w:hanging="567"/>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 xml:space="preserve">The </w:t>
            </w:r>
            <w:r w:rsidR="00F13F55">
              <w:rPr>
                <w:rFonts w:ascii="Calibri" w:eastAsia="Georgia" w:hAnsi="Calibri" w:cs="Calibri"/>
                <w:color w:val="000000"/>
                <w:sz w:val="14"/>
                <w:szCs w:val="14"/>
              </w:rPr>
              <w:t>R</w:t>
            </w:r>
            <w:r w:rsidRPr="00755383">
              <w:rPr>
                <w:rFonts w:ascii="Calibri" w:eastAsia="Georgia" w:hAnsi="Calibri" w:cs="Calibri"/>
                <w:color w:val="000000"/>
                <w:sz w:val="14"/>
                <w:szCs w:val="14"/>
              </w:rPr>
              <w:t xml:space="preserve">eceiving </w:t>
            </w:r>
            <w:r w:rsidR="00F13F55">
              <w:rPr>
                <w:rFonts w:ascii="Calibri" w:eastAsia="Georgia" w:hAnsi="Calibri" w:cs="Calibri"/>
                <w:color w:val="000000"/>
                <w:sz w:val="14"/>
                <w:szCs w:val="14"/>
              </w:rPr>
              <w:t>P</w:t>
            </w:r>
            <w:r w:rsidRPr="00755383">
              <w:rPr>
                <w:rFonts w:ascii="Calibri" w:eastAsia="Georgia" w:hAnsi="Calibri" w:cs="Calibri"/>
                <w:color w:val="000000"/>
                <w:sz w:val="14"/>
                <w:szCs w:val="14"/>
              </w:rPr>
              <w:t xml:space="preserve">arty shall only disclose such confidential information to those of its employees, agents and subcontractors who need to know it for the purpose of discharging the </w:t>
            </w:r>
            <w:r w:rsidR="00F13F55">
              <w:rPr>
                <w:rFonts w:ascii="Calibri" w:eastAsia="Georgia" w:hAnsi="Calibri" w:cs="Calibri"/>
                <w:color w:val="000000"/>
                <w:sz w:val="14"/>
                <w:szCs w:val="14"/>
              </w:rPr>
              <w:t>R</w:t>
            </w:r>
            <w:r w:rsidRPr="00755383">
              <w:rPr>
                <w:rFonts w:ascii="Calibri" w:eastAsia="Georgia" w:hAnsi="Calibri" w:cs="Calibri"/>
                <w:color w:val="000000"/>
                <w:sz w:val="14"/>
                <w:szCs w:val="14"/>
              </w:rPr>
              <w:t xml:space="preserve">eceiving </w:t>
            </w:r>
            <w:r w:rsidR="00F13F55">
              <w:rPr>
                <w:rFonts w:ascii="Calibri" w:eastAsia="Georgia" w:hAnsi="Calibri" w:cs="Calibri"/>
                <w:color w:val="000000"/>
                <w:sz w:val="14"/>
                <w:szCs w:val="14"/>
              </w:rPr>
              <w:t>P</w:t>
            </w:r>
            <w:r w:rsidRPr="00755383">
              <w:rPr>
                <w:rFonts w:ascii="Calibri" w:eastAsia="Georgia" w:hAnsi="Calibri" w:cs="Calibri"/>
                <w:color w:val="000000"/>
                <w:sz w:val="14"/>
                <w:szCs w:val="14"/>
              </w:rPr>
              <w:t xml:space="preserve">arty's obligations under the Service Agreement, and shall ensure that such employees, agents and subcontractors comply with the obligations set out in this clause as though they were a party to the Service Agreement. The </w:t>
            </w:r>
            <w:r w:rsidR="00F13F55">
              <w:rPr>
                <w:rFonts w:ascii="Calibri" w:eastAsia="Georgia" w:hAnsi="Calibri" w:cs="Calibri"/>
                <w:color w:val="000000"/>
                <w:sz w:val="14"/>
                <w:szCs w:val="14"/>
              </w:rPr>
              <w:t>R</w:t>
            </w:r>
            <w:r w:rsidRPr="00755383">
              <w:rPr>
                <w:rFonts w:ascii="Calibri" w:eastAsia="Georgia" w:hAnsi="Calibri" w:cs="Calibri"/>
                <w:color w:val="000000"/>
                <w:sz w:val="14"/>
                <w:szCs w:val="14"/>
              </w:rPr>
              <w:t xml:space="preserve">eceiving </w:t>
            </w:r>
            <w:r w:rsidR="00F13F55">
              <w:rPr>
                <w:rFonts w:ascii="Calibri" w:eastAsia="Georgia" w:hAnsi="Calibri" w:cs="Calibri"/>
                <w:color w:val="000000"/>
                <w:sz w:val="14"/>
                <w:szCs w:val="14"/>
              </w:rPr>
              <w:t>P</w:t>
            </w:r>
            <w:r w:rsidRPr="00755383">
              <w:rPr>
                <w:rFonts w:ascii="Calibri" w:eastAsia="Georgia" w:hAnsi="Calibri" w:cs="Calibri"/>
                <w:color w:val="000000"/>
                <w:sz w:val="14"/>
                <w:szCs w:val="14"/>
              </w:rPr>
              <w:t xml:space="preserve">arty may also disclose such of the </w:t>
            </w:r>
            <w:r w:rsidR="00F13F55">
              <w:rPr>
                <w:rFonts w:ascii="Calibri" w:eastAsia="Georgia" w:hAnsi="Calibri" w:cs="Calibri"/>
                <w:color w:val="000000"/>
                <w:sz w:val="14"/>
                <w:szCs w:val="14"/>
              </w:rPr>
              <w:t>D</w:t>
            </w:r>
            <w:r w:rsidRPr="00755383">
              <w:rPr>
                <w:rFonts w:ascii="Calibri" w:eastAsia="Georgia" w:hAnsi="Calibri" w:cs="Calibri"/>
                <w:color w:val="000000"/>
                <w:sz w:val="14"/>
                <w:szCs w:val="14"/>
              </w:rPr>
              <w:t xml:space="preserve">isclosing </w:t>
            </w:r>
            <w:r w:rsidR="00F13F55">
              <w:rPr>
                <w:rFonts w:ascii="Calibri" w:eastAsia="Georgia" w:hAnsi="Calibri" w:cs="Calibri"/>
                <w:color w:val="000000"/>
                <w:sz w:val="14"/>
                <w:szCs w:val="14"/>
              </w:rPr>
              <w:t>P</w:t>
            </w:r>
            <w:r w:rsidRPr="00755383">
              <w:rPr>
                <w:rFonts w:ascii="Calibri" w:eastAsia="Georgia" w:hAnsi="Calibri" w:cs="Calibri"/>
                <w:color w:val="000000"/>
                <w:sz w:val="14"/>
                <w:szCs w:val="14"/>
              </w:rPr>
              <w:t>arty's confidential information as is required to be disclosed by law, any governmental or regulatory authority or by a court of competent jurisdiction.</w:t>
            </w:r>
          </w:p>
          <w:p w14:paraId="5F9B7F96" w14:textId="77777777" w:rsidR="009F3767" w:rsidRPr="00755383" w:rsidRDefault="009F3767" w:rsidP="009F3767">
            <w:pPr>
              <w:pStyle w:val="ListParagraph"/>
              <w:spacing w:after="0" w:line="240" w:lineRule="auto"/>
              <w:ind w:left="592"/>
              <w:jc w:val="both"/>
              <w:rPr>
                <w:rFonts w:ascii="Calibri" w:eastAsia="Times New Roman" w:hAnsi="Calibri" w:cs="Calibri"/>
                <w:color w:val="000000"/>
                <w:sz w:val="14"/>
                <w:szCs w:val="14"/>
              </w:rPr>
            </w:pPr>
          </w:p>
          <w:p w14:paraId="05D8FFA8" w14:textId="3E03CB78" w:rsidR="00333254" w:rsidRPr="00755383" w:rsidRDefault="00333254" w:rsidP="00333254">
            <w:pPr>
              <w:pStyle w:val="ListParagraph"/>
              <w:spacing w:after="0" w:line="240" w:lineRule="auto"/>
              <w:ind w:left="592"/>
              <w:jc w:val="both"/>
              <w:rPr>
                <w:rFonts w:ascii="Calibri" w:eastAsia="Times New Roman" w:hAnsi="Calibri" w:cs="Calibri"/>
                <w:color w:val="000000"/>
                <w:sz w:val="14"/>
                <w:szCs w:val="14"/>
              </w:rPr>
            </w:pPr>
          </w:p>
        </w:tc>
        <w:tc>
          <w:tcPr>
            <w:tcW w:w="5812" w:type="dxa"/>
            <w:shd w:val="clear" w:color="auto" w:fill="auto"/>
            <w:noWrap/>
            <w:hideMark/>
          </w:tcPr>
          <w:p w14:paraId="70D48FDE" w14:textId="215308E9" w:rsidR="005A0203" w:rsidRPr="00755383" w:rsidRDefault="005A0203" w:rsidP="00333254">
            <w:pPr>
              <w:pStyle w:val="ListParagraph"/>
              <w:numPr>
                <w:ilvl w:val="0"/>
                <w:numId w:val="20"/>
              </w:numPr>
              <w:spacing w:after="0" w:line="240" w:lineRule="auto"/>
              <w:ind w:left="463" w:hanging="425"/>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 xml:space="preserve">Strona </w:t>
            </w:r>
            <w:r w:rsidR="0039600B">
              <w:rPr>
                <w:rFonts w:ascii="Calibri" w:eastAsia="Georgia" w:hAnsi="Calibri" w:cs="Calibri"/>
                <w:color w:val="000000"/>
                <w:sz w:val="14"/>
                <w:szCs w:val="14"/>
                <w:lang w:val="pl-PL"/>
              </w:rPr>
              <w:t>O</w:t>
            </w:r>
            <w:r w:rsidRPr="00755383">
              <w:rPr>
                <w:rFonts w:ascii="Calibri" w:eastAsia="Georgia" w:hAnsi="Calibri" w:cs="Calibri"/>
                <w:color w:val="000000"/>
                <w:sz w:val="14"/>
                <w:szCs w:val="14"/>
                <w:lang w:val="pl-PL"/>
              </w:rPr>
              <w:t xml:space="preserve">trzymująca ujawni takie informacje poufne tylko tym z jej pracowników, agentów i podwykonawców, którzy muszą je znać w celu wypełniania zobowiązań strony otrzymującej wynikających z Umowy o Świadczeniu Usług i zapewni, że tacy pracownicy, agenci i podwykonawcy przestrzegają zobowiązań określonych w niniejszym ustępie tak, jakby byli stroną Umowy o Świadczeniu Usług. Strona </w:t>
            </w:r>
            <w:r w:rsidR="0039600B">
              <w:rPr>
                <w:rFonts w:ascii="Calibri" w:eastAsia="Georgia" w:hAnsi="Calibri" w:cs="Calibri"/>
                <w:color w:val="000000"/>
                <w:sz w:val="14"/>
                <w:szCs w:val="14"/>
                <w:lang w:val="pl-PL"/>
              </w:rPr>
              <w:t>O</w:t>
            </w:r>
            <w:r w:rsidRPr="00755383">
              <w:rPr>
                <w:rFonts w:ascii="Calibri" w:eastAsia="Georgia" w:hAnsi="Calibri" w:cs="Calibri"/>
                <w:color w:val="000000"/>
                <w:sz w:val="14"/>
                <w:szCs w:val="14"/>
                <w:lang w:val="pl-PL"/>
              </w:rPr>
              <w:t xml:space="preserve">trzymująca może również ujawnić takie informacje poufne strony ujawniającej, które są wymagane przez prawo, jakikolwiek organ rządowy lub </w:t>
            </w:r>
            <w:r w:rsidR="00713EF2" w:rsidRPr="00755383">
              <w:rPr>
                <w:rFonts w:ascii="Calibri" w:eastAsia="Georgia" w:hAnsi="Calibri" w:cs="Calibri"/>
                <w:color w:val="000000"/>
                <w:sz w:val="14"/>
                <w:szCs w:val="14"/>
                <w:lang w:val="pl-PL"/>
              </w:rPr>
              <w:t>inny organ administracji</w:t>
            </w:r>
            <w:r w:rsidRPr="00755383">
              <w:rPr>
                <w:rFonts w:ascii="Calibri" w:eastAsia="Georgia" w:hAnsi="Calibri" w:cs="Calibri"/>
                <w:color w:val="000000"/>
                <w:sz w:val="14"/>
                <w:szCs w:val="14"/>
                <w:lang w:val="pl-PL"/>
              </w:rPr>
              <w:t xml:space="preserve">, lub przez sąd właściwej jurysdykcji. </w:t>
            </w:r>
          </w:p>
        </w:tc>
      </w:tr>
      <w:tr w:rsidR="006163B3" w:rsidRPr="00755383" w14:paraId="53EE339B" w14:textId="77777777" w:rsidTr="006C27F7">
        <w:trPr>
          <w:trHeight w:val="179"/>
        </w:trPr>
        <w:tc>
          <w:tcPr>
            <w:tcW w:w="5245" w:type="dxa"/>
            <w:shd w:val="clear" w:color="auto" w:fill="auto"/>
            <w:noWrap/>
            <w:hideMark/>
          </w:tcPr>
          <w:p w14:paraId="0D2707FB"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7.                  Remedies and Liability</w:t>
            </w:r>
          </w:p>
        </w:tc>
        <w:tc>
          <w:tcPr>
            <w:tcW w:w="5812" w:type="dxa"/>
            <w:shd w:val="clear" w:color="auto" w:fill="auto"/>
            <w:noWrap/>
            <w:hideMark/>
          </w:tcPr>
          <w:p w14:paraId="2D69EE78" w14:textId="77777777" w:rsidR="005A0203" w:rsidRPr="00755383" w:rsidRDefault="005A0203" w:rsidP="00336BB8">
            <w:pPr>
              <w:spacing w:after="0" w:line="240" w:lineRule="auto"/>
              <w:jc w:val="both"/>
              <w:rPr>
                <w:rFonts w:ascii="Calibri" w:eastAsia="Times New Roman" w:hAnsi="Calibri" w:cs="Calibri"/>
                <w:b/>
                <w:bCs/>
                <w:color w:val="000000"/>
                <w:sz w:val="14"/>
                <w:szCs w:val="14"/>
                <w:lang w:val="pl-PL"/>
              </w:rPr>
            </w:pPr>
            <w:r w:rsidRPr="00755383">
              <w:rPr>
                <w:rFonts w:ascii="Calibri" w:eastAsia="Georgia" w:hAnsi="Calibri" w:cs="Calibri"/>
                <w:b/>
                <w:bCs/>
                <w:color w:val="000000"/>
                <w:sz w:val="14"/>
                <w:szCs w:val="14"/>
                <w:lang w:val="pl-PL"/>
              </w:rPr>
              <w:t>7.                  Środki ochrony prawnej i odpowiedzialność</w:t>
            </w:r>
          </w:p>
        </w:tc>
      </w:tr>
      <w:tr w:rsidR="006163B3" w:rsidRPr="00755383" w14:paraId="6C74CC5C" w14:textId="77777777" w:rsidTr="006C27F7">
        <w:trPr>
          <w:trHeight w:val="919"/>
        </w:trPr>
        <w:tc>
          <w:tcPr>
            <w:tcW w:w="5245" w:type="dxa"/>
            <w:shd w:val="clear" w:color="auto" w:fill="auto"/>
            <w:noWrap/>
            <w:hideMark/>
          </w:tcPr>
          <w:p w14:paraId="743E9C1E" w14:textId="18364B3F" w:rsidR="009F3767" w:rsidRPr="00755383" w:rsidRDefault="005A0203" w:rsidP="009E7D17">
            <w:pPr>
              <w:pStyle w:val="ListParagraph"/>
              <w:numPr>
                <w:ilvl w:val="0"/>
                <w:numId w:val="2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Without waiving any other rights or remedies available to it under applicable law or otherwise, Videojet may suspend provision of Services hereunder if the Customer fails to pay any amount due until all past due accounts of the Customer are fully satisfied and Videojet shall not be liable for any costs or losses sustained or incurred by the Customer arising directly or indirectly from such suspension.</w:t>
            </w:r>
          </w:p>
        </w:tc>
        <w:tc>
          <w:tcPr>
            <w:tcW w:w="5812" w:type="dxa"/>
            <w:shd w:val="clear" w:color="auto" w:fill="auto"/>
            <w:noWrap/>
            <w:hideMark/>
          </w:tcPr>
          <w:p w14:paraId="20F830CC" w14:textId="1437C234" w:rsidR="009E7D17" w:rsidRPr="00755383" w:rsidRDefault="005A0203" w:rsidP="009E7D17">
            <w:pPr>
              <w:pStyle w:val="ListParagraph"/>
              <w:numPr>
                <w:ilvl w:val="0"/>
                <w:numId w:val="23"/>
              </w:numPr>
              <w:spacing w:after="0" w:line="240" w:lineRule="auto"/>
              <w:ind w:left="463" w:hanging="425"/>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Bez zrzeczenia się jakichkolwiek innych praw lub środków ochrony prawnej przysługujących jej na mocy obowiązującego prawa, lub w inny sposób, </w:t>
            </w:r>
            <w:proofErr w:type="spellStart"/>
            <w:r w:rsidR="009111D1"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może zawiesić świadczenie Usług na podstawie niniejszej Umowy, jeśli Klient nie zapłaci jakiejkolwiek należnej kwoty, do chwili pełnego zapłacenia zaległych kwot przez Klienta</w:t>
            </w:r>
            <w:r w:rsidR="00713EF2" w:rsidRPr="00755383">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nie ponosi odpowiedzialności za jakiekolwiek koszty, lub straty objęte, lub poniesione przez Klienta, wynikające bezpoś</w:t>
            </w:r>
            <w:r w:rsidR="006163B3" w:rsidRPr="00755383">
              <w:rPr>
                <w:rFonts w:ascii="Calibri" w:eastAsia="Georgia" w:hAnsi="Calibri" w:cs="Calibri"/>
                <w:color w:val="000000"/>
                <w:sz w:val="14"/>
                <w:szCs w:val="14"/>
                <w:lang w:val="pl-PL"/>
              </w:rPr>
              <w:t>r</w:t>
            </w:r>
            <w:r w:rsidRPr="00755383">
              <w:rPr>
                <w:rFonts w:ascii="Calibri" w:eastAsia="Georgia" w:hAnsi="Calibri" w:cs="Calibri"/>
                <w:color w:val="000000"/>
                <w:sz w:val="14"/>
                <w:szCs w:val="14"/>
                <w:lang w:val="pl-PL"/>
              </w:rPr>
              <w:t>ednio lub pośrednio z takiego zawieszenia.</w:t>
            </w:r>
          </w:p>
        </w:tc>
      </w:tr>
      <w:tr w:rsidR="006163B3" w:rsidRPr="00755383" w14:paraId="3F98F4EA" w14:textId="77777777" w:rsidTr="006C27F7">
        <w:trPr>
          <w:trHeight w:val="470"/>
        </w:trPr>
        <w:tc>
          <w:tcPr>
            <w:tcW w:w="5245" w:type="dxa"/>
            <w:shd w:val="clear" w:color="auto" w:fill="auto"/>
            <w:noWrap/>
            <w:hideMark/>
          </w:tcPr>
          <w:p w14:paraId="57D0E5D9" w14:textId="2CD83EE3" w:rsidR="005A0203" w:rsidRPr="00755383" w:rsidRDefault="005A0203" w:rsidP="009E7D17">
            <w:pPr>
              <w:pStyle w:val="ListParagraph"/>
              <w:numPr>
                <w:ilvl w:val="0"/>
                <w:numId w:val="2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Videojet's rights and remedies herein are in addition to, and not in lieu of, any other rights or remedies Videojet may have at law or in equity.</w:t>
            </w:r>
          </w:p>
        </w:tc>
        <w:tc>
          <w:tcPr>
            <w:tcW w:w="5812" w:type="dxa"/>
            <w:shd w:val="clear" w:color="auto" w:fill="auto"/>
            <w:noWrap/>
            <w:hideMark/>
          </w:tcPr>
          <w:p w14:paraId="040E9C90" w14:textId="40F70164" w:rsidR="005A0203" w:rsidRPr="00755383" w:rsidRDefault="005A0203" w:rsidP="009E7D17">
            <w:pPr>
              <w:pStyle w:val="ListParagraph"/>
              <w:numPr>
                <w:ilvl w:val="0"/>
                <w:numId w:val="23"/>
              </w:numPr>
              <w:spacing w:after="0" w:line="240" w:lineRule="auto"/>
              <w:ind w:left="463" w:hanging="425"/>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Prawa i środki ochrony prawnej niniejszym przysługujące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stanowią uzupełnienie i nie zastępują jakichkolwiek innych praw lub środków ochrony prawnej, które</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może mieć na mocy prawa </w:t>
            </w:r>
            <w:r w:rsidR="00246132" w:rsidRPr="00755383">
              <w:rPr>
                <w:rFonts w:ascii="Calibri" w:eastAsia="Georgia" w:hAnsi="Calibri" w:cs="Calibri"/>
                <w:color w:val="000000"/>
                <w:sz w:val="14"/>
                <w:szCs w:val="14"/>
                <w:lang w:val="pl-PL"/>
              </w:rPr>
              <w:t xml:space="preserve">lub </w:t>
            </w:r>
            <w:r w:rsidRPr="00755383">
              <w:rPr>
                <w:rFonts w:ascii="Calibri" w:eastAsia="Georgia" w:hAnsi="Calibri" w:cs="Calibri"/>
                <w:color w:val="000000"/>
                <w:sz w:val="14"/>
                <w:szCs w:val="14"/>
                <w:lang w:val="pl-PL"/>
              </w:rPr>
              <w:t>na zasadzie słuszności.</w:t>
            </w:r>
          </w:p>
        </w:tc>
      </w:tr>
      <w:tr w:rsidR="006163B3" w:rsidRPr="00755383" w14:paraId="2B968197" w14:textId="77777777" w:rsidTr="006C27F7">
        <w:trPr>
          <w:trHeight w:val="366"/>
        </w:trPr>
        <w:tc>
          <w:tcPr>
            <w:tcW w:w="5245" w:type="dxa"/>
            <w:shd w:val="clear" w:color="auto" w:fill="auto"/>
            <w:noWrap/>
            <w:hideMark/>
          </w:tcPr>
          <w:p w14:paraId="69F87C1D" w14:textId="0F8E7141" w:rsidR="005A0203" w:rsidRPr="00755383" w:rsidRDefault="005A0203" w:rsidP="009E7D17">
            <w:pPr>
              <w:pStyle w:val="ListParagraph"/>
              <w:numPr>
                <w:ilvl w:val="0"/>
                <w:numId w:val="21"/>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Nothing in the Service Agreement shall limit any liability which cannot legally be limited, including but not limited to liability fo</w:t>
            </w:r>
            <w:r w:rsidR="009F3767" w:rsidRPr="00755383">
              <w:rPr>
                <w:rFonts w:ascii="Calibri" w:eastAsia="Georgia" w:hAnsi="Calibri" w:cs="Calibri"/>
                <w:color w:val="000000"/>
                <w:sz w:val="14"/>
                <w:szCs w:val="14"/>
              </w:rPr>
              <w:t>r:</w:t>
            </w:r>
          </w:p>
        </w:tc>
        <w:tc>
          <w:tcPr>
            <w:tcW w:w="5812" w:type="dxa"/>
            <w:shd w:val="clear" w:color="auto" w:fill="auto"/>
            <w:noWrap/>
            <w:hideMark/>
          </w:tcPr>
          <w:p w14:paraId="7CBE4CD5" w14:textId="5EFD430D" w:rsidR="005A0203" w:rsidRPr="00755383" w:rsidRDefault="005A0203" w:rsidP="009E7D17">
            <w:pPr>
              <w:pStyle w:val="ListParagraph"/>
              <w:numPr>
                <w:ilvl w:val="0"/>
                <w:numId w:val="23"/>
              </w:numPr>
              <w:spacing w:after="0" w:line="240" w:lineRule="auto"/>
              <w:ind w:left="463" w:hanging="425"/>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Żadne z postanowień Umowy o Świadczeniu Usług nie ogranicza odpowiedzialności, której nie można prawnie ograniczać, w tym m.in. odpowiedzialności za:</w:t>
            </w:r>
          </w:p>
        </w:tc>
      </w:tr>
      <w:tr w:rsidR="006163B3" w:rsidRPr="00755383" w14:paraId="6C46A32D" w14:textId="77777777" w:rsidTr="006C27F7">
        <w:trPr>
          <w:trHeight w:val="57"/>
        </w:trPr>
        <w:tc>
          <w:tcPr>
            <w:tcW w:w="5245" w:type="dxa"/>
            <w:shd w:val="clear" w:color="auto" w:fill="auto"/>
            <w:noWrap/>
            <w:hideMark/>
          </w:tcPr>
          <w:p w14:paraId="74A31CA6" w14:textId="518516FA" w:rsidR="005A0203" w:rsidRPr="0039600B" w:rsidRDefault="005A0203" w:rsidP="009F3767">
            <w:pPr>
              <w:pStyle w:val="ListParagraph"/>
              <w:numPr>
                <w:ilvl w:val="0"/>
                <w:numId w:val="22"/>
              </w:numPr>
              <w:spacing w:after="0" w:line="240" w:lineRule="auto"/>
              <w:ind w:hanging="758"/>
              <w:jc w:val="both"/>
              <w:rPr>
                <w:rFonts w:ascii="Calibri" w:eastAsia="Georgia" w:hAnsi="Calibri" w:cs="Calibri"/>
                <w:color w:val="000000"/>
                <w:sz w:val="14"/>
                <w:szCs w:val="14"/>
              </w:rPr>
            </w:pPr>
            <w:r w:rsidRPr="0039600B">
              <w:rPr>
                <w:rFonts w:ascii="Calibri" w:eastAsia="Georgia" w:hAnsi="Calibri" w:cs="Calibri"/>
                <w:color w:val="000000"/>
                <w:sz w:val="14"/>
                <w:szCs w:val="14"/>
              </w:rPr>
              <w:t>death or personal injury caused by  negligence;</w:t>
            </w:r>
            <w:r w:rsidR="009F3767" w:rsidRPr="0039600B">
              <w:rPr>
                <w:rFonts w:ascii="Calibri" w:eastAsia="Georgia" w:hAnsi="Calibri" w:cs="Calibri"/>
                <w:color w:val="000000"/>
                <w:sz w:val="14"/>
                <w:szCs w:val="14"/>
              </w:rPr>
              <w:t xml:space="preserve"> or</w:t>
            </w:r>
          </w:p>
          <w:p w14:paraId="47F63B39" w14:textId="669B734C" w:rsidR="009F3767" w:rsidRPr="0039600B" w:rsidRDefault="009F3767" w:rsidP="009F3767">
            <w:pPr>
              <w:pStyle w:val="ListParagraph"/>
              <w:spacing w:after="0" w:line="240" w:lineRule="auto"/>
              <w:ind w:left="1350"/>
              <w:jc w:val="both"/>
              <w:rPr>
                <w:rFonts w:ascii="Calibri" w:eastAsia="Times New Roman" w:hAnsi="Calibri" w:cs="Calibri"/>
                <w:color w:val="000000"/>
                <w:sz w:val="14"/>
                <w:szCs w:val="14"/>
              </w:rPr>
            </w:pPr>
          </w:p>
        </w:tc>
        <w:tc>
          <w:tcPr>
            <w:tcW w:w="5812" w:type="dxa"/>
            <w:shd w:val="clear" w:color="auto" w:fill="auto"/>
            <w:noWrap/>
            <w:hideMark/>
          </w:tcPr>
          <w:p w14:paraId="4C4ACA7B" w14:textId="255B7D57" w:rsidR="009E7D17" w:rsidRPr="00755383" w:rsidRDefault="005A0203" w:rsidP="009E7D17">
            <w:pPr>
              <w:pStyle w:val="ListParagraph"/>
              <w:numPr>
                <w:ilvl w:val="0"/>
                <w:numId w:val="24"/>
              </w:numPr>
              <w:spacing w:after="0" w:line="240" w:lineRule="auto"/>
              <w:ind w:left="1030" w:hanging="567"/>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śmierci lub uszkodzenia ciała spowodowane </w:t>
            </w:r>
            <w:r w:rsidR="00246132" w:rsidRPr="00755383">
              <w:rPr>
                <w:rFonts w:ascii="Calibri" w:eastAsia="Georgia" w:hAnsi="Calibri" w:cs="Calibri"/>
                <w:color w:val="000000"/>
                <w:sz w:val="14"/>
                <w:szCs w:val="14"/>
                <w:lang w:val="pl-PL"/>
              </w:rPr>
              <w:t>niedbalstwem</w:t>
            </w:r>
            <w:r w:rsidRPr="00755383">
              <w:rPr>
                <w:rFonts w:ascii="Calibri" w:eastAsia="Georgia" w:hAnsi="Calibri" w:cs="Calibri"/>
                <w:color w:val="000000"/>
                <w:sz w:val="14"/>
                <w:szCs w:val="14"/>
                <w:lang w:val="pl-PL"/>
              </w:rPr>
              <w:t xml:space="preserve">; </w:t>
            </w:r>
            <w:r w:rsidR="009F3767" w:rsidRPr="00755383">
              <w:rPr>
                <w:rFonts w:ascii="Calibri" w:eastAsia="Georgia" w:hAnsi="Calibri" w:cs="Calibri"/>
                <w:color w:val="000000"/>
                <w:sz w:val="14"/>
                <w:szCs w:val="14"/>
                <w:lang w:val="pl-PL"/>
              </w:rPr>
              <w:t>lub</w:t>
            </w:r>
          </w:p>
        </w:tc>
      </w:tr>
      <w:tr w:rsidR="006163B3" w:rsidRPr="00755383" w14:paraId="3A028C6C" w14:textId="77777777" w:rsidTr="006C27F7">
        <w:trPr>
          <w:trHeight w:val="208"/>
        </w:trPr>
        <w:tc>
          <w:tcPr>
            <w:tcW w:w="5245" w:type="dxa"/>
            <w:shd w:val="clear" w:color="auto" w:fill="auto"/>
            <w:noWrap/>
            <w:hideMark/>
          </w:tcPr>
          <w:p w14:paraId="6CEEF506" w14:textId="30B2A274" w:rsidR="005A0203" w:rsidRPr="0039600B" w:rsidRDefault="005A0203" w:rsidP="009F3767">
            <w:pPr>
              <w:pStyle w:val="ListParagraph"/>
              <w:numPr>
                <w:ilvl w:val="0"/>
                <w:numId w:val="22"/>
              </w:numPr>
              <w:spacing w:after="0" w:line="240" w:lineRule="auto"/>
              <w:ind w:hanging="758"/>
              <w:jc w:val="both"/>
              <w:rPr>
                <w:rFonts w:ascii="Calibri" w:eastAsia="Times New Roman" w:hAnsi="Calibri" w:cs="Calibri"/>
                <w:color w:val="000000"/>
                <w:sz w:val="14"/>
                <w:szCs w:val="14"/>
              </w:rPr>
            </w:pPr>
            <w:r w:rsidRPr="0039600B">
              <w:rPr>
                <w:rFonts w:ascii="Calibri" w:eastAsia="Georgia" w:hAnsi="Calibri" w:cs="Calibri"/>
                <w:color w:val="000000"/>
                <w:sz w:val="14"/>
                <w:szCs w:val="14"/>
              </w:rPr>
              <w:t>fraud or fraudulent misrepresentation</w:t>
            </w:r>
            <w:r w:rsidR="009F3767" w:rsidRPr="0039600B">
              <w:rPr>
                <w:rFonts w:ascii="Calibri" w:eastAsia="Georgia" w:hAnsi="Calibri" w:cs="Calibri"/>
                <w:color w:val="000000"/>
                <w:sz w:val="14"/>
                <w:szCs w:val="14"/>
              </w:rPr>
              <w:t>.</w:t>
            </w:r>
          </w:p>
        </w:tc>
        <w:tc>
          <w:tcPr>
            <w:tcW w:w="5812" w:type="dxa"/>
            <w:shd w:val="clear" w:color="auto" w:fill="auto"/>
            <w:noWrap/>
            <w:hideMark/>
          </w:tcPr>
          <w:p w14:paraId="263AD4CD" w14:textId="7127FFA4" w:rsidR="005A0203" w:rsidRPr="00755383" w:rsidRDefault="005A0203" w:rsidP="009E7D17">
            <w:pPr>
              <w:pStyle w:val="ListParagraph"/>
              <w:numPr>
                <w:ilvl w:val="0"/>
                <w:numId w:val="24"/>
              </w:numPr>
              <w:spacing w:after="0" w:line="240" w:lineRule="auto"/>
              <w:ind w:left="1030" w:hanging="567"/>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oszustwo lub oszukańcze wprowadzenie w błąd</w:t>
            </w:r>
            <w:r w:rsidR="009F3767" w:rsidRPr="00755383">
              <w:rPr>
                <w:rFonts w:ascii="Calibri" w:eastAsia="Georgia" w:hAnsi="Calibri" w:cs="Calibri"/>
                <w:color w:val="000000"/>
                <w:sz w:val="14"/>
                <w:szCs w:val="14"/>
                <w:lang w:val="pl-PL"/>
              </w:rPr>
              <w:t>.</w:t>
            </w:r>
          </w:p>
        </w:tc>
      </w:tr>
      <w:tr w:rsidR="006163B3" w:rsidRPr="00755383" w14:paraId="5114818A" w14:textId="77777777" w:rsidTr="006C27F7">
        <w:trPr>
          <w:trHeight w:val="416"/>
        </w:trPr>
        <w:tc>
          <w:tcPr>
            <w:tcW w:w="5245" w:type="dxa"/>
            <w:shd w:val="clear" w:color="auto" w:fill="auto"/>
            <w:noWrap/>
            <w:hideMark/>
          </w:tcPr>
          <w:p w14:paraId="0DFC294E" w14:textId="614AE90C" w:rsidR="005A0203" w:rsidRPr="0039600B" w:rsidRDefault="005A0203" w:rsidP="009E7D17">
            <w:pPr>
              <w:pStyle w:val="ListParagraph"/>
              <w:numPr>
                <w:ilvl w:val="0"/>
                <w:numId w:val="21"/>
              </w:numPr>
              <w:spacing w:after="0" w:line="240" w:lineRule="auto"/>
              <w:ind w:left="592" w:hanging="567"/>
              <w:jc w:val="both"/>
              <w:rPr>
                <w:rFonts w:ascii="Calibri" w:eastAsia="Times New Roman" w:hAnsi="Calibri" w:cs="Calibri"/>
                <w:color w:val="000000"/>
                <w:sz w:val="14"/>
                <w:szCs w:val="14"/>
              </w:rPr>
            </w:pPr>
            <w:r w:rsidRPr="0039600B">
              <w:rPr>
                <w:rFonts w:ascii="Calibri" w:eastAsia="Georgia" w:hAnsi="Calibri" w:cs="Calibri"/>
                <w:color w:val="000000"/>
                <w:sz w:val="14"/>
                <w:szCs w:val="14"/>
              </w:rPr>
              <w:t>Subject to the sub-clause (c) above</w:t>
            </w:r>
            <w:r w:rsidR="00215113" w:rsidRPr="0039600B">
              <w:rPr>
                <w:rFonts w:ascii="Calibri" w:eastAsia="Georgia" w:hAnsi="Calibri" w:cs="Calibri"/>
                <w:color w:val="000000"/>
                <w:sz w:val="14"/>
                <w:szCs w:val="14"/>
              </w:rPr>
              <w:t xml:space="preserve"> and </w:t>
            </w:r>
            <w:r w:rsidR="0023666B" w:rsidRPr="0039600B">
              <w:rPr>
                <w:rFonts w:ascii="Calibri" w:eastAsia="Georgia" w:hAnsi="Calibri" w:cs="Calibri"/>
                <w:color w:val="000000"/>
                <w:sz w:val="14"/>
                <w:szCs w:val="14"/>
              </w:rPr>
              <w:t xml:space="preserve">to the </w:t>
            </w:r>
            <w:r w:rsidR="00215113" w:rsidRPr="0039600B">
              <w:rPr>
                <w:rFonts w:ascii="Calibri" w:eastAsia="Georgia" w:hAnsi="Calibri" w:cs="Calibri"/>
                <w:color w:val="000000"/>
                <w:sz w:val="14"/>
                <w:szCs w:val="14"/>
              </w:rPr>
              <w:t xml:space="preserve">provisions of law excluding the </w:t>
            </w:r>
            <w:r w:rsidR="0023666B" w:rsidRPr="0039600B">
              <w:rPr>
                <w:rFonts w:ascii="Calibri" w:eastAsia="Georgia" w:hAnsi="Calibri" w:cs="Calibri"/>
                <w:color w:val="000000"/>
                <w:sz w:val="14"/>
                <w:szCs w:val="14"/>
              </w:rPr>
              <w:t xml:space="preserve">limitation </w:t>
            </w:r>
            <w:r w:rsidR="00215113" w:rsidRPr="0039600B">
              <w:rPr>
                <w:rFonts w:ascii="Calibri" w:eastAsia="Georgia" w:hAnsi="Calibri" w:cs="Calibri"/>
                <w:color w:val="000000"/>
                <w:sz w:val="14"/>
                <w:szCs w:val="14"/>
              </w:rPr>
              <w:t xml:space="preserve">or </w:t>
            </w:r>
            <w:r w:rsidR="00E832AA" w:rsidRPr="0039600B">
              <w:rPr>
                <w:rFonts w:ascii="Calibri" w:eastAsia="Georgia" w:hAnsi="Calibri" w:cs="Calibri"/>
                <w:color w:val="000000"/>
                <w:sz w:val="14"/>
                <w:szCs w:val="14"/>
              </w:rPr>
              <w:t xml:space="preserve">the exclusion of </w:t>
            </w:r>
            <w:r w:rsidR="00215113" w:rsidRPr="0039600B">
              <w:rPr>
                <w:rFonts w:ascii="Calibri" w:eastAsia="Georgia" w:hAnsi="Calibri" w:cs="Calibri"/>
                <w:color w:val="000000"/>
                <w:sz w:val="14"/>
                <w:szCs w:val="14"/>
              </w:rPr>
              <w:t>the liability</w:t>
            </w:r>
            <w:r w:rsidR="00E832AA" w:rsidRPr="0039600B">
              <w:rPr>
                <w:rFonts w:ascii="Calibri" w:eastAsia="Georgia" w:hAnsi="Calibri" w:cs="Calibri"/>
                <w:color w:val="000000"/>
                <w:sz w:val="14"/>
                <w:szCs w:val="14"/>
              </w:rPr>
              <w:t xml:space="preserve"> to the extent determined therein</w:t>
            </w:r>
            <w:r w:rsidRPr="0039600B">
              <w:rPr>
                <w:rFonts w:ascii="Calibri" w:eastAsia="Georgia" w:hAnsi="Calibri" w:cs="Calibri"/>
                <w:color w:val="000000"/>
                <w:sz w:val="14"/>
                <w:szCs w:val="14"/>
              </w:rPr>
              <w:t>, Videojet shall under no circumstances whatever be liable to the Customer, whether in contract, tort (including negligence), breach of statutory duty, or otherwise, for the following types of loss:</w:t>
            </w:r>
          </w:p>
        </w:tc>
        <w:tc>
          <w:tcPr>
            <w:tcW w:w="5812" w:type="dxa"/>
            <w:shd w:val="clear" w:color="auto" w:fill="auto"/>
            <w:noWrap/>
            <w:hideMark/>
          </w:tcPr>
          <w:p w14:paraId="1DC95D7F" w14:textId="7D583481" w:rsidR="005A0203" w:rsidRPr="00755383" w:rsidRDefault="005A0203" w:rsidP="009E7D17">
            <w:pPr>
              <w:pStyle w:val="ListParagraph"/>
              <w:numPr>
                <w:ilvl w:val="0"/>
                <w:numId w:val="23"/>
              </w:numPr>
              <w:spacing w:after="0" w:line="240" w:lineRule="auto"/>
              <w:ind w:left="463" w:hanging="425"/>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Z zastrzeżeniem ust. 7 (c) powyżej</w:t>
            </w:r>
            <w:r w:rsidR="005A25DA" w:rsidRPr="00755383">
              <w:rPr>
                <w:rFonts w:ascii="Calibri" w:eastAsia="Georgia" w:hAnsi="Calibri" w:cs="Calibri"/>
                <w:color w:val="000000"/>
                <w:sz w:val="14"/>
                <w:szCs w:val="14"/>
                <w:lang w:val="pl-PL"/>
              </w:rPr>
              <w:t xml:space="preserve"> oraz przepisów prawa wyłączających w zakresie w nich wskazanych możliwość ograniczenia </w:t>
            </w:r>
            <w:r w:rsidR="003E689C" w:rsidRPr="00755383">
              <w:rPr>
                <w:rFonts w:ascii="Calibri" w:eastAsia="Georgia" w:hAnsi="Calibri" w:cs="Calibri"/>
                <w:color w:val="000000"/>
                <w:sz w:val="14"/>
                <w:szCs w:val="14"/>
                <w:lang w:val="pl-PL"/>
              </w:rPr>
              <w:t xml:space="preserve">lub wyłączenia </w:t>
            </w:r>
            <w:r w:rsidR="005A25DA" w:rsidRPr="00755383">
              <w:rPr>
                <w:rFonts w:ascii="Calibri" w:eastAsia="Georgia" w:hAnsi="Calibri" w:cs="Calibri"/>
                <w:color w:val="000000"/>
                <w:sz w:val="14"/>
                <w:szCs w:val="14"/>
                <w:lang w:val="pl-PL"/>
              </w:rPr>
              <w:t>odpowiedzialności</w:t>
            </w:r>
            <w:r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w żadnym przypadku nie będzie odpowiedzialna wobec Klienta, czy to na podstawie umowy, czynu niedozwolonego (w tym zaniedbania), naruszenia obowiązku ustawowego, czy</w:t>
            </w:r>
            <w:r w:rsidR="00BD2153" w:rsidRPr="00755383">
              <w:rPr>
                <w:rFonts w:ascii="Calibri" w:eastAsia="Georgia" w:hAnsi="Calibri" w:cs="Calibri"/>
                <w:color w:val="000000"/>
                <w:sz w:val="14"/>
                <w:szCs w:val="14"/>
                <w:lang w:val="pl-PL"/>
              </w:rPr>
              <w:t xml:space="preserve"> z innego tytułu</w:t>
            </w:r>
            <w:r w:rsidRPr="00755383">
              <w:rPr>
                <w:rFonts w:ascii="Calibri" w:eastAsia="Georgia" w:hAnsi="Calibri" w:cs="Calibri"/>
                <w:color w:val="000000"/>
                <w:sz w:val="14"/>
                <w:szCs w:val="14"/>
                <w:lang w:val="pl-PL"/>
              </w:rPr>
              <w:t>, za następujące rodzaje strat</w:t>
            </w:r>
            <w:r w:rsidR="00BD2153" w:rsidRPr="00755383">
              <w:rPr>
                <w:rFonts w:ascii="Calibri" w:eastAsia="Georgia" w:hAnsi="Calibri" w:cs="Calibri"/>
                <w:color w:val="000000"/>
                <w:sz w:val="14"/>
                <w:szCs w:val="14"/>
                <w:lang w:val="pl-PL"/>
              </w:rPr>
              <w:t xml:space="preserve"> (szkód)</w:t>
            </w:r>
            <w:r w:rsidRPr="00755383">
              <w:rPr>
                <w:rFonts w:ascii="Calibri" w:eastAsia="Georgia" w:hAnsi="Calibri" w:cs="Calibri"/>
                <w:color w:val="000000"/>
                <w:sz w:val="14"/>
                <w:szCs w:val="14"/>
                <w:lang w:val="pl-PL"/>
              </w:rPr>
              <w:t>:</w:t>
            </w:r>
            <w:r w:rsidR="005A25DA" w:rsidRPr="00755383">
              <w:rPr>
                <w:rFonts w:ascii="Calibri" w:hAnsi="Calibri" w:cs="Calibri"/>
                <w:sz w:val="14"/>
                <w:szCs w:val="14"/>
                <w:lang w:val="pl-PL"/>
              </w:rPr>
              <w:t xml:space="preserve"> </w:t>
            </w:r>
          </w:p>
        </w:tc>
      </w:tr>
      <w:tr w:rsidR="006163B3" w:rsidRPr="00755383" w14:paraId="155CA25B" w14:textId="77777777" w:rsidTr="006C27F7">
        <w:trPr>
          <w:trHeight w:val="229"/>
        </w:trPr>
        <w:tc>
          <w:tcPr>
            <w:tcW w:w="5245" w:type="dxa"/>
            <w:shd w:val="clear" w:color="auto" w:fill="auto"/>
            <w:noWrap/>
            <w:hideMark/>
          </w:tcPr>
          <w:p w14:paraId="1ABA7203"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w:t>
            </w:r>
            <w:proofErr w:type="spellStart"/>
            <w:r w:rsidRPr="00755383">
              <w:rPr>
                <w:rFonts w:ascii="Calibri" w:eastAsia="Times New Roman" w:hAnsi="Calibri" w:cs="Calibri"/>
                <w:color w:val="000000"/>
                <w:sz w:val="14"/>
                <w:szCs w:val="14"/>
              </w:rPr>
              <w:t>i</w:t>
            </w:r>
            <w:proofErr w:type="spellEnd"/>
            <w:r w:rsidRPr="00755383">
              <w:rPr>
                <w:rFonts w:ascii="Calibri" w:eastAsia="Times New Roman" w:hAnsi="Calibri" w:cs="Calibri"/>
                <w:color w:val="000000"/>
                <w:sz w:val="14"/>
                <w:szCs w:val="14"/>
              </w:rPr>
              <w:t>)  any direct or indirect loss of profit;</w:t>
            </w:r>
          </w:p>
        </w:tc>
        <w:tc>
          <w:tcPr>
            <w:tcW w:w="5812" w:type="dxa"/>
            <w:shd w:val="clear" w:color="auto" w:fill="auto"/>
            <w:noWrap/>
            <w:hideMark/>
          </w:tcPr>
          <w:p w14:paraId="07ED7AAB" w14:textId="7237DDEB" w:rsidR="009E7D17" w:rsidRPr="00755383" w:rsidRDefault="005A0203" w:rsidP="000E5833">
            <w:pPr>
              <w:pStyle w:val="ListParagraph"/>
              <w:numPr>
                <w:ilvl w:val="0"/>
                <w:numId w:val="25"/>
              </w:numPr>
              <w:spacing w:after="0" w:line="240" w:lineRule="auto"/>
              <w:ind w:left="1172" w:hanging="709"/>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jakąkolwiek bezpośrednią lub pośrednią utratę zysku</w:t>
            </w:r>
            <w:r w:rsidR="00BD2153" w:rsidRPr="00755383">
              <w:rPr>
                <w:rFonts w:ascii="Calibri" w:eastAsia="Times New Roman" w:hAnsi="Calibri" w:cs="Calibri"/>
                <w:color w:val="000000"/>
                <w:sz w:val="14"/>
                <w:szCs w:val="14"/>
                <w:lang w:val="pl-PL"/>
              </w:rPr>
              <w:t xml:space="preserve"> (utracone korzyści)</w:t>
            </w:r>
            <w:r w:rsidR="009E7D17" w:rsidRPr="00755383">
              <w:rPr>
                <w:rFonts w:ascii="Calibri" w:eastAsia="Times New Roman" w:hAnsi="Calibri" w:cs="Calibri"/>
                <w:color w:val="000000"/>
                <w:sz w:val="14"/>
                <w:szCs w:val="14"/>
                <w:lang w:val="pl-PL"/>
              </w:rPr>
              <w:t>;</w:t>
            </w:r>
          </w:p>
          <w:p w14:paraId="7DB49F9F" w14:textId="268724F3" w:rsidR="009E7D17" w:rsidRPr="00755383" w:rsidRDefault="009E7D17" w:rsidP="000E5833">
            <w:pPr>
              <w:spacing w:after="0" w:line="240" w:lineRule="auto"/>
              <w:ind w:left="1172" w:hanging="709"/>
              <w:jc w:val="both"/>
              <w:rPr>
                <w:rFonts w:ascii="Calibri" w:eastAsia="Times New Roman" w:hAnsi="Calibri" w:cs="Calibri"/>
                <w:color w:val="000000"/>
                <w:sz w:val="14"/>
                <w:szCs w:val="14"/>
                <w:lang w:val="pl-PL"/>
              </w:rPr>
            </w:pPr>
          </w:p>
        </w:tc>
      </w:tr>
      <w:tr w:rsidR="006163B3" w:rsidRPr="00755383" w14:paraId="7C182F22" w14:textId="77777777" w:rsidTr="006C27F7">
        <w:trPr>
          <w:trHeight w:val="162"/>
        </w:trPr>
        <w:tc>
          <w:tcPr>
            <w:tcW w:w="5245" w:type="dxa"/>
            <w:shd w:val="clear" w:color="auto" w:fill="auto"/>
            <w:noWrap/>
            <w:hideMark/>
          </w:tcPr>
          <w:p w14:paraId="1DCD3FD2"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(ii) any indirect or consequential loss;</w:t>
            </w:r>
          </w:p>
        </w:tc>
        <w:tc>
          <w:tcPr>
            <w:tcW w:w="5812" w:type="dxa"/>
            <w:shd w:val="clear" w:color="auto" w:fill="auto"/>
            <w:noWrap/>
            <w:hideMark/>
          </w:tcPr>
          <w:p w14:paraId="66162F0F" w14:textId="55D21023" w:rsidR="005A0203" w:rsidRPr="00755383" w:rsidRDefault="005A0203" w:rsidP="000E5833">
            <w:pPr>
              <w:pStyle w:val="ListParagraph"/>
              <w:numPr>
                <w:ilvl w:val="0"/>
                <w:numId w:val="25"/>
              </w:numPr>
              <w:spacing w:after="0" w:line="240" w:lineRule="auto"/>
              <w:ind w:left="1172" w:hanging="709"/>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wszelkie straty bezpośrednie lub pochodne (następcze);</w:t>
            </w:r>
          </w:p>
        </w:tc>
      </w:tr>
      <w:tr w:rsidR="006163B3" w:rsidRPr="00755383" w14:paraId="1B91D0C1" w14:textId="77777777" w:rsidTr="006C27F7">
        <w:trPr>
          <w:trHeight w:val="136"/>
        </w:trPr>
        <w:tc>
          <w:tcPr>
            <w:tcW w:w="5245" w:type="dxa"/>
            <w:shd w:val="clear" w:color="auto" w:fill="auto"/>
            <w:noWrap/>
            <w:hideMark/>
          </w:tcPr>
          <w:p w14:paraId="46D51FA4"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(iii)  loss of sales or business;</w:t>
            </w:r>
          </w:p>
        </w:tc>
        <w:tc>
          <w:tcPr>
            <w:tcW w:w="5812" w:type="dxa"/>
            <w:shd w:val="clear" w:color="auto" w:fill="auto"/>
            <w:noWrap/>
            <w:hideMark/>
          </w:tcPr>
          <w:p w14:paraId="792BACD1" w14:textId="76C1EAE0" w:rsidR="005A0203" w:rsidRPr="00755383" w:rsidRDefault="005A0203" w:rsidP="000E5833">
            <w:pPr>
              <w:pStyle w:val="ListParagraph"/>
              <w:numPr>
                <w:ilvl w:val="0"/>
                <w:numId w:val="25"/>
              </w:numPr>
              <w:spacing w:after="0" w:line="240" w:lineRule="auto"/>
              <w:ind w:left="1172" w:hanging="709"/>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 xml:space="preserve">utratę </w:t>
            </w:r>
            <w:r w:rsidR="00BD2153" w:rsidRPr="00755383">
              <w:rPr>
                <w:rFonts w:ascii="Calibri" w:eastAsia="Times New Roman" w:hAnsi="Calibri" w:cs="Calibri"/>
                <w:color w:val="000000"/>
                <w:sz w:val="14"/>
                <w:szCs w:val="14"/>
                <w:lang w:val="pl-PL"/>
              </w:rPr>
              <w:t xml:space="preserve">poziomów </w:t>
            </w:r>
            <w:r w:rsidRPr="00755383">
              <w:rPr>
                <w:rFonts w:ascii="Calibri" w:eastAsia="Times New Roman" w:hAnsi="Calibri" w:cs="Calibri"/>
                <w:color w:val="000000"/>
                <w:sz w:val="14"/>
                <w:szCs w:val="14"/>
                <w:lang w:val="pl-PL"/>
              </w:rPr>
              <w:t xml:space="preserve">sprzedaży lub </w:t>
            </w:r>
            <w:r w:rsidR="00BD2153" w:rsidRPr="00755383">
              <w:rPr>
                <w:rFonts w:ascii="Calibri" w:eastAsia="Times New Roman" w:hAnsi="Calibri" w:cs="Calibri"/>
                <w:color w:val="000000"/>
                <w:sz w:val="14"/>
                <w:szCs w:val="14"/>
                <w:lang w:val="pl-PL"/>
              </w:rPr>
              <w:t>biznesu</w:t>
            </w:r>
            <w:r w:rsidRPr="00755383">
              <w:rPr>
                <w:rFonts w:ascii="Calibri" w:eastAsia="Times New Roman" w:hAnsi="Calibri" w:cs="Calibri"/>
                <w:color w:val="000000"/>
                <w:sz w:val="14"/>
                <w:szCs w:val="14"/>
                <w:lang w:val="pl-PL"/>
              </w:rPr>
              <w:t xml:space="preserve">; </w:t>
            </w:r>
          </w:p>
        </w:tc>
      </w:tr>
      <w:tr w:rsidR="006163B3" w:rsidRPr="00755383" w14:paraId="0A3ED520" w14:textId="77777777" w:rsidTr="006C27F7">
        <w:trPr>
          <w:trHeight w:val="268"/>
        </w:trPr>
        <w:tc>
          <w:tcPr>
            <w:tcW w:w="5245" w:type="dxa"/>
            <w:shd w:val="clear" w:color="auto" w:fill="auto"/>
            <w:noWrap/>
            <w:hideMark/>
          </w:tcPr>
          <w:p w14:paraId="44023549"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(iv) loss of use or corruption of software, data or information;</w:t>
            </w:r>
          </w:p>
        </w:tc>
        <w:tc>
          <w:tcPr>
            <w:tcW w:w="5812" w:type="dxa"/>
            <w:shd w:val="clear" w:color="auto" w:fill="auto"/>
            <w:noWrap/>
            <w:hideMark/>
          </w:tcPr>
          <w:p w14:paraId="23C2FBB3" w14:textId="085C7D41" w:rsidR="005A0203" w:rsidRPr="00755383" w:rsidRDefault="005A0203" w:rsidP="000E5833">
            <w:pPr>
              <w:pStyle w:val="ListParagraph"/>
              <w:numPr>
                <w:ilvl w:val="0"/>
                <w:numId w:val="25"/>
              </w:numPr>
              <w:spacing w:after="0" w:line="240" w:lineRule="auto"/>
              <w:ind w:left="1172" w:hanging="709"/>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 xml:space="preserve">utratę możliwości użytkowania lub uszkodzenie oprogramowania, danych lub informacji; </w:t>
            </w:r>
          </w:p>
        </w:tc>
      </w:tr>
      <w:tr w:rsidR="006163B3" w:rsidRPr="00755383" w14:paraId="1C52C4B1" w14:textId="77777777" w:rsidTr="006C27F7">
        <w:trPr>
          <w:trHeight w:val="70"/>
        </w:trPr>
        <w:tc>
          <w:tcPr>
            <w:tcW w:w="5245" w:type="dxa"/>
            <w:shd w:val="clear" w:color="auto" w:fill="auto"/>
            <w:noWrap/>
            <w:hideMark/>
          </w:tcPr>
          <w:p w14:paraId="2782F0F6"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(v) loss of agreements or contracts; or</w:t>
            </w:r>
          </w:p>
        </w:tc>
        <w:tc>
          <w:tcPr>
            <w:tcW w:w="5812" w:type="dxa"/>
            <w:shd w:val="clear" w:color="auto" w:fill="auto"/>
            <w:noWrap/>
            <w:hideMark/>
          </w:tcPr>
          <w:p w14:paraId="6562DA04" w14:textId="1BDAF2C5" w:rsidR="005A0203" w:rsidRPr="00755383" w:rsidRDefault="005A0203" w:rsidP="000E5833">
            <w:pPr>
              <w:pStyle w:val="ListParagraph"/>
              <w:numPr>
                <w:ilvl w:val="0"/>
                <w:numId w:val="25"/>
              </w:numPr>
              <w:spacing w:after="0" w:line="240" w:lineRule="auto"/>
              <w:ind w:left="1172" w:hanging="709"/>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 xml:space="preserve">utratę umów; lub </w:t>
            </w:r>
          </w:p>
        </w:tc>
      </w:tr>
      <w:tr w:rsidR="006163B3" w:rsidRPr="00755383" w14:paraId="1BA55307" w14:textId="77777777" w:rsidTr="006C27F7">
        <w:trPr>
          <w:trHeight w:val="161"/>
        </w:trPr>
        <w:tc>
          <w:tcPr>
            <w:tcW w:w="5245" w:type="dxa"/>
            <w:shd w:val="clear" w:color="auto" w:fill="auto"/>
            <w:noWrap/>
            <w:hideMark/>
          </w:tcPr>
          <w:p w14:paraId="2E5069BB"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(iv) loss of or damage to goodwill,</w:t>
            </w:r>
          </w:p>
        </w:tc>
        <w:tc>
          <w:tcPr>
            <w:tcW w:w="5812" w:type="dxa"/>
            <w:shd w:val="clear" w:color="auto" w:fill="auto"/>
            <w:noWrap/>
            <w:hideMark/>
          </w:tcPr>
          <w:p w14:paraId="5DF503F2" w14:textId="1D10D2CF" w:rsidR="005A0203" w:rsidRPr="00755383" w:rsidRDefault="005A0203" w:rsidP="000E5833">
            <w:pPr>
              <w:pStyle w:val="ListParagraph"/>
              <w:numPr>
                <w:ilvl w:val="0"/>
                <w:numId w:val="25"/>
              </w:numPr>
              <w:spacing w:after="0" w:line="240" w:lineRule="auto"/>
              <w:ind w:left="1172" w:hanging="709"/>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 xml:space="preserve">utratę lub podważenie renomy, </w:t>
            </w:r>
          </w:p>
        </w:tc>
      </w:tr>
      <w:tr w:rsidR="006163B3" w:rsidRPr="00755383" w14:paraId="2D1F9D4A" w14:textId="77777777" w:rsidTr="006C27F7">
        <w:trPr>
          <w:trHeight w:val="134"/>
        </w:trPr>
        <w:tc>
          <w:tcPr>
            <w:tcW w:w="5245" w:type="dxa"/>
            <w:shd w:val="clear" w:color="auto" w:fill="auto"/>
            <w:noWrap/>
            <w:hideMark/>
          </w:tcPr>
          <w:p w14:paraId="306EED8A"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arising under or in connection with the Service Agreement.</w:t>
            </w:r>
          </w:p>
        </w:tc>
        <w:tc>
          <w:tcPr>
            <w:tcW w:w="5812" w:type="dxa"/>
            <w:shd w:val="clear" w:color="auto" w:fill="auto"/>
            <w:noWrap/>
            <w:hideMark/>
          </w:tcPr>
          <w:p w14:paraId="2A9B913D" w14:textId="190DDBF6" w:rsidR="005A0203" w:rsidRPr="00755383" w:rsidRDefault="0039600B" w:rsidP="00336BB8">
            <w:pPr>
              <w:spacing w:after="0" w:line="240" w:lineRule="auto"/>
              <w:jc w:val="both"/>
              <w:rPr>
                <w:rFonts w:ascii="Calibri" w:eastAsia="Times New Roman" w:hAnsi="Calibri" w:cs="Calibri"/>
                <w:color w:val="000000"/>
                <w:sz w:val="14"/>
                <w:szCs w:val="14"/>
                <w:lang w:val="pl-PL"/>
              </w:rPr>
            </w:pPr>
            <w:r>
              <w:rPr>
                <w:rFonts w:ascii="Calibri" w:eastAsia="Times New Roman" w:hAnsi="Calibri" w:cs="Calibri"/>
                <w:color w:val="000000"/>
                <w:sz w:val="14"/>
                <w:szCs w:val="14"/>
                <w:lang w:val="pl-PL"/>
              </w:rPr>
              <w:t xml:space="preserve">  </w:t>
            </w:r>
            <w:r w:rsidR="005A0203" w:rsidRPr="00755383">
              <w:rPr>
                <w:rFonts w:ascii="Calibri" w:eastAsia="Times New Roman" w:hAnsi="Calibri" w:cs="Calibri"/>
                <w:color w:val="000000"/>
                <w:sz w:val="14"/>
                <w:szCs w:val="14"/>
                <w:lang w:val="pl-PL"/>
              </w:rPr>
              <w:t>wynikające z niniejszej Umowy o Świadczeniu Usług lub w związku z nią.</w:t>
            </w:r>
          </w:p>
        </w:tc>
      </w:tr>
      <w:tr w:rsidR="006163B3" w:rsidRPr="00755383" w14:paraId="0AD63D7F" w14:textId="77777777" w:rsidTr="006C27F7">
        <w:trPr>
          <w:trHeight w:val="1182"/>
        </w:trPr>
        <w:tc>
          <w:tcPr>
            <w:tcW w:w="5245" w:type="dxa"/>
            <w:shd w:val="clear" w:color="auto" w:fill="auto"/>
            <w:noWrap/>
            <w:hideMark/>
          </w:tcPr>
          <w:p w14:paraId="30E1E857" w14:textId="3DE4776A" w:rsidR="005A0203" w:rsidRPr="00755383" w:rsidRDefault="005A0203" w:rsidP="009E7D17">
            <w:pPr>
              <w:pStyle w:val="ListParagraph"/>
              <w:numPr>
                <w:ilvl w:val="0"/>
                <w:numId w:val="21"/>
              </w:numPr>
              <w:spacing w:after="0" w:line="240" w:lineRule="auto"/>
              <w:ind w:left="592" w:hanging="567"/>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Subject to clauses (c) and (d) above, Videojet's total liability to the Customer in respect of all other liabilities, costs, expenses, damages and losses howsoever arising under or in connection with the Service Agreement, whether in contract, tort (including negligence), breach of statutory duty, or otherwise, shall in no circumstances exceed the amounts paid by the Customer to Videojet pursuant to the Service Agreement.</w:t>
            </w:r>
          </w:p>
        </w:tc>
        <w:tc>
          <w:tcPr>
            <w:tcW w:w="5812" w:type="dxa"/>
            <w:shd w:val="clear" w:color="auto" w:fill="auto"/>
            <w:noWrap/>
            <w:hideMark/>
          </w:tcPr>
          <w:p w14:paraId="659B1DE1" w14:textId="7586CD07" w:rsidR="005A0203" w:rsidRPr="00755383" w:rsidRDefault="005A0203" w:rsidP="009E7D17">
            <w:pPr>
              <w:pStyle w:val="ListParagraph"/>
              <w:numPr>
                <w:ilvl w:val="0"/>
                <w:numId w:val="23"/>
              </w:numPr>
              <w:spacing w:after="0" w:line="240" w:lineRule="auto"/>
              <w:ind w:left="463" w:hanging="425"/>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 xml:space="preserve">Z zastrzeżeniem ust.  7 (c) i (d) powyżej, całkowita odpowiedzialność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wobec Klienta z tytułu wszelkich zobowiązań, kosztów, wydatków, szkód i strat, w jakikolwiek sposób powstałych na podstawie lub w związku z Umową o Świadczeniu Usług, niezależnie od tego, czy</w:t>
            </w:r>
            <w:r w:rsidR="00BD2153" w:rsidRPr="00755383">
              <w:rPr>
                <w:rFonts w:ascii="Calibri" w:eastAsia="Georgia" w:hAnsi="Calibri" w:cs="Calibri"/>
                <w:color w:val="000000"/>
                <w:sz w:val="14"/>
                <w:szCs w:val="14"/>
                <w:lang w:val="pl-PL"/>
              </w:rPr>
              <w:t xml:space="preserve"> z tytułu</w:t>
            </w:r>
            <w:r w:rsidRPr="00755383">
              <w:rPr>
                <w:rFonts w:ascii="Calibri" w:eastAsia="Georgia" w:hAnsi="Calibri" w:cs="Calibri"/>
                <w:color w:val="000000"/>
                <w:sz w:val="14"/>
                <w:szCs w:val="14"/>
                <w:lang w:val="pl-PL"/>
              </w:rPr>
              <w:t xml:space="preserve"> umow</w:t>
            </w:r>
            <w:r w:rsidR="00BD2153" w:rsidRPr="00755383">
              <w:rPr>
                <w:rFonts w:ascii="Calibri" w:eastAsia="Georgia" w:hAnsi="Calibri" w:cs="Calibri"/>
                <w:color w:val="000000"/>
                <w:sz w:val="14"/>
                <w:szCs w:val="14"/>
                <w:lang w:val="pl-PL"/>
              </w:rPr>
              <w:t>y</w:t>
            </w:r>
            <w:r w:rsidRPr="00755383">
              <w:rPr>
                <w:rFonts w:ascii="Calibri" w:eastAsia="Georgia" w:hAnsi="Calibri" w:cs="Calibri"/>
                <w:color w:val="000000"/>
                <w:sz w:val="14"/>
                <w:szCs w:val="14"/>
                <w:lang w:val="pl-PL"/>
              </w:rPr>
              <w:t>, czyn</w:t>
            </w:r>
            <w:r w:rsidR="00BD2153" w:rsidRPr="00755383">
              <w:rPr>
                <w:rFonts w:ascii="Calibri" w:eastAsia="Georgia" w:hAnsi="Calibri" w:cs="Calibri"/>
                <w:color w:val="000000"/>
                <w:sz w:val="14"/>
                <w:szCs w:val="14"/>
                <w:lang w:val="pl-PL"/>
              </w:rPr>
              <w:t>u</w:t>
            </w:r>
            <w:r w:rsidRPr="00755383">
              <w:rPr>
                <w:rFonts w:ascii="Calibri" w:eastAsia="Georgia" w:hAnsi="Calibri" w:cs="Calibri"/>
                <w:color w:val="000000"/>
                <w:sz w:val="14"/>
                <w:szCs w:val="14"/>
                <w:lang w:val="pl-PL"/>
              </w:rPr>
              <w:t xml:space="preserve"> niedozwolon</w:t>
            </w:r>
            <w:r w:rsidR="00BD2153" w:rsidRPr="00755383">
              <w:rPr>
                <w:rFonts w:ascii="Calibri" w:eastAsia="Georgia" w:hAnsi="Calibri" w:cs="Calibri"/>
                <w:color w:val="000000"/>
                <w:sz w:val="14"/>
                <w:szCs w:val="14"/>
                <w:lang w:val="pl-PL"/>
              </w:rPr>
              <w:t>ego</w:t>
            </w:r>
            <w:r w:rsidRPr="00755383">
              <w:rPr>
                <w:rFonts w:ascii="Calibri" w:eastAsia="Georgia" w:hAnsi="Calibri" w:cs="Calibri"/>
                <w:color w:val="000000"/>
                <w:sz w:val="14"/>
                <w:szCs w:val="14"/>
                <w:lang w:val="pl-PL"/>
              </w:rPr>
              <w:t xml:space="preserve"> (w tym </w:t>
            </w:r>
            <w:r w:rsidR="00BD2153" w:rsidRPr="00755383">
              <w:rPr>
                <w:rFonts w:ascii="Calibri" w:eastAsia="Georgia" w:hAnsi="Calibri" w:cs="Calibri"/>
                <w:color w:val="000000"/>
                <w:sz w:val="14"/>
                <w:szCs w:val="14"/>
                <w:lang w:val="pl-PL"/>
              </w:rPr>
              <w:t>niedbalstwa</w:t>
            </w:r>
            <w:r w:rsidRPr="00755383">
              <w:rPr>
                <w:rFonts w:ascii="Calibri" w:eastAsia="Georgia" w:hAnsi="Calibri" w:cs="Calibri"/>
                <w:color w:val="000000"/>
                <w:sz w:val="14"/>
                <w:szCs w:val="14"/>
                <w:lang w:val="pl-PL"/>
              </w:rPr>
              <w:t>), naruszeni</w:t>
            </w:r>
            <w:r w:rsidR="00BD2153" w:rsidRPr="00755383">
              <w:rPr>
                <w:rFonts w:ascii="Calibri" w:eastAsia="Georgia" w:hAnsi="Calibri" w:cs="Calibri"/>
                <w:color w:val="000000"/>
                <w:sz w:val="14"/>
                <w:szCs w:val="14"/>
                <w:lang w:val="pl-PL"/>
              </w:rPr>
              <w:t>a</w:t>
            </w:r>
            <w:r w:rsidRPr="00755383">
              <w:rPr>
                <w:rFonts w:ascii="Calibri" w:eastAsia="Georgia" w:hAnsi="Calibri" w:cs="Calibri"/>
                <w:color w:val="000000"/>
                <w:sz w:val="14"/>
                <w:szCs w:val="14"/>
                <w:lang w:val="pl-PL"/>
              </w:rPr>
              <w:t xml:space="preserve"> ustawowego obowiązku, lub w inny sposób, w żadnym przypadku nie może przekroczyć kwot zapłaconych przez Klienta firmie</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zgodnie z Umową o Świadczeniu Usług.</w:t>
            </w:r>
          </w:p>
        </w:tc>
      </w:tr>
      <w:tr w:rsidR="006163B3" w:rsidRPr="00755383" w14:paraId="2A055EFB" w14:textId="77777777" w:rsidTr="006C27F7">
        <w:trPr>
          <w:trHeight w:val="144"/>
        </w:trPr>
        <w:tc>
          <w:tcPr>
            <w:tcW w:w="5245" w:type="dxa"/>
            <w:shd w:val="clear" w:color="auto" w:fill="auto"/>
            <w:noWrap/>
            <w:hideMark/>
          </w:tcPr>
          <w:p w14:paraId="5801F52C"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8.                 Term and Termination</w:t>
            </w:r>
          </w:p>
        </w:tc>
        <w:tc>
          <w:tcPr>
            <w:tcW w:w="5812" w:type="dxa"/>
            <w:shd w:val="clear" w:color="auto" w:fill="auto"/>
            <w:noWrap/>
            <w:hideMark/>
          </w:tcPr>
          <w:p w14:paraId="5E277020"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8.                 Czas trwania i rozwiązanie</w:t>
            </w:r>
          </w:p>
        </w:tc>
      </w:tr>
      <w:tr w:rsidR="006163B3" w:rsidRPr="00755383" w14:paraId="7AFDA8AC" w14:textId="77777777" w:rsidTr="006C27F7">
        <w:trPr>
          <w:trHeight w:val="260"/>
        </w:trPr>
        <w:tc>
          <w:tcPr>
            <w:tcW w:w="5245" w:type="dxa"/>
            <w:shd w:val="clear" w:color="auto" w:fill="auto"/>
            <w:noWrap/>
            <w:hideMark/>
          </w:tcPr>
          <w:p w14:paraId="2B19977B" w14:textId="6FDAE52E" w:rsidR="000E5833" w:rsidRPr="00755383" w:rsidRDefault="005A0203" w:rsidP="000E5833">
            <w:pPr>
              <w:pStyle w:val="ListParagraph"/>
              <w:numPr>
                <w:ilvl w:val="0"/>
                <w:numId w:val="26"/>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 Service Agreement is effective during the Term identified in the Service Agreement Order Form.</w:t>
            </w:r>
          </w:p>
        </w:tc>
        <w:tc>
          <w:tcPr>
            <w:tcW w:w="5812" w:type="dxa"/>
            <w:shd w:val="clear" w:color="auto" w:fill="auto"/>
            <w:noWrap/>
            <w:hideMark/>
          </w:tcPr>
          <w:p w14:paraId="0FD50A6D" w14:textId="39352D77" w:rsidR="000E583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Umowa o Świadczenie Usług obowiązuje przez okres wskazany w Formularzu Zamówienia Umowy o Świadczeniu Usług.</w:t>
            </w:r>
          </w:p>
        </w:tc>
      </w:tr>
      <w:tr w:rsidR="006163B3" w:rsidRPr="00755383" w14:paraId="65ED244C" w14:textId="77777777" w:rsidTr="006C27F7">
        <w:trPr>
          <w:trHeight w:val="478"/>
        </w:trPr>
        <w:tc>
          <w:tcPr>
            <w:tcW w:w="5245" w:type="dxa"/>
            <w:shd w:val="clear" w:color="auto" w:fill="auto"/>
            <w:noWrap/>
            <w:hideMark/>
          </w:tcPr>
          <w:p w14:paraId="703CCDB6" w14:textId="3138AE2F" w:rsidR="005A0203" w:rsidRPr="00755383" w:rsidRDefault="005A0203" w:rsidP="000E5833">
            <w:pPr>
              <w:pStyle w:val="ListParagraph"/>
              <w:numPr>
                <w:ilvl w:val="0"/>
                <w:numId w:val="26"/>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Following signature of a Service Agreement Order Form, the contract pursuant to this Services Agreement is irrevocable and no refund will be issued by Videojet.  </w:t>
            </w:r>
          </w:p>
        </w:tc>
        <w:tc>
          <w:tcPr>
            <w:tcW w:w="5812" w:type="dxa"/>
            <w:shd w:val="clear" w:color="auto" w:fill="auto"/>
            <w:noWrap/>
            <w:hideMark/>
          </w:tcPr>
          <w:p w14:paraId="67ACA970" w14:textId="457C6077" w:rsidR="005A020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Po podpisaniu Formularza Zamówienia Umowy o Świadczeniu Usług, umowa</w:t>
            </w:r>
            <w:r w:rsidR="00DA6198" w:rsidRPr="00755383">
              <w:rPr>
                <w:rFonts w:ascii="Calibri" w:eastAsia="Georgia" w:hAnsi="Calibri" w:cs="Calibri"/>
                <w:color w:val="000000"/>
                <w:sz w:val="14"/>
                <w:szCs w:val="14"/>
                <w:lang w:val="pl-PL"/>
              </w:rPr>
              <w:t xml:space="preserve"> (zamówienie)</w:t>
            </w:r>
            <w:r w:rsidRPr="00755383">
              <w:rPr>
                <w:rFonts w:ascii="Calibri" w:eastAsia="Georgia" w:hAnsi="Calibri" w:cs="Calibri"/>
                <w:color w:val="000000"/>
                <w:sz w:val="14"/>
                <w:szCs w:val="14"/>
                <w:lang w:val="pl-PL"/>
              </w:rPr>
              <w:t xml:space="preserve"> zgodnie z niniejszą Umową o Świadczeniu Usług jest nieodwołalna i </w:t>
            </w:r>
            <w:proofErr w:type="spellStart"/>
            <w:r w:rsidR="009111D1" w:rsidRPr="00755383">
              <w:rPr>
                <w:rFonts w:ascii="Calibri" w:eastAsia="Georgia" w:hAnsi="Calibri" w:cs="Calibri"/>
                <w:color w:val="000000"/>
                <w:sz w:val="14"/>
                <w:szCs w:val="14"/>
                <w:lang w:val="pl-PL"/>
              </w:rPr>
              <w:t>Videojet</w:t>
            </w:r>
            <w:proofErr w:type="spellEnd"/>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nie zwraca kosztów</w:t>
            </w:r>
            <w:r w:rsidR="00BD2153" w:rsidRPr="00755383">
              <w:rPr>
                <w:rFonts w:ascii="Calibri" w:eastAsia="Georgia" w:hAnsi="Calibri" w:cs="Calibri"/>
                <w:color w:val="000000"/>
                <w:sz w:val="14"/>
                <w:szCs w:val="14"/>
                <w:lang w:val="pl-PL"/>
              </w:rPr>
              <w:t xml:space="preserve"> ani uiszczonych </w:t>
            </w:r>
            <w:r w:rsidR="00572443" w:rsidRPr="00755383">
              <w:rPr>
                <w:rFonts w:ascii="Calibri" w:eastAsia="Georgia" w:hAnsi="Calibri" w:cs="Calibri"/>
                <w:color w:val="000000"/>
                <w:sz w:val="14"/>
                <w:szCs w:val="14"/>
                <w:lang w:val="pl-PL"/>
              </w:rPr>
              <w:t>opłat</w:t>
            </w:r>
            <w:r w:rsidRPr="00755383">
              <w:rPr>
                <w:rFonts w:ascii="Calibri" w:eastAsia="Georgia" w:hAnsi="Calibri" w:cs="Calibri"/>
                <w:color w:val="000000"/>
                <w:sz w:val="14"/>
                <w:szCs w:val="14"/>
                <w:lang w:val="pl-PL"/>
              </w:rPr>
              <w:t xml:space="preserve">.  </w:t>
            </w:r>
          </w:p>
        </w:tc>
      </w:tr>
      <w:tr w:rsidR="006163B3" w:rsidRPr="00755383" w14:paraId="7C6D2719" w14:textId="77777777" w:rsidTr="006C27F7">
        <w:trPr>
          <w:trHeight w:val="803"/>
        </w:trPr>
        <w:tc>
          <w:tcPr>
            <w:tcW w:w="5245" w:type="dxa"/>
            <w:shd w:val="clear" w:color="auto" w:fill="auto"/>
            <w:noWrap/>
            <w:hideMark/>
          </w:tcPr>
          <w:p w14:paraId="5596660D" w14:textId="248CF8C0" w:rsidR="005A0203" w:rsidRPr="00755383" w:rsidRDefault="005A0203" w:rsidP="000E5833">
            <w:pPr>
              <w:pStyle w:val="ListParagraph"/>
              <w:numPr>
                <w:ilvl w:val="0"/>
                <w:numId w:val="26"/>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Without limiting </w:t>
            </w:r>
            <w:r w:rsidRPr="0039600B">
              <w:rPr>
                <w:rFonts w:ascii="Calibri" w:eastAsia="Georgia" w:hAnsi="Calibri" w:cs="Calibri"/>
                <w:color w:val="000000"/>
                <w:sz w:val="14"/>
                <w:szCs w:val="14"/>
              </w:rPr>
              <w:t>any other available legal or equitable rights or remedies, either party</w:t>
            </w:r>
            <w:r w:rsidR="008F21FF" w:rsidRPr="0039600B">
              <w:rPr>
                <w:rFonts w:ascii="Calibri" w:eastAsia="Georgia" w:hAnsi="Calibri" w:cs="Calibri"/>
                <w:color w:val="000000"/>
                <w:sz w:val="14"/>
                <w:szCs w:val="14"/>
              </w:rPr>
              <w:t xml:space="preserve">, subject to </w:t>
            </w:r>
            <w:r w:rsidR="00E832AA" w:rsidRPr="0039600B">
              <w:rPr>
                <w:rFonts w:ascii="Calibri" w:eastAsia="Georgia" w:hAnsi="Calibri" w:cs="Calibri"/>
                <w:color w:val="000000"/>
                <w:sz w:val="14"/>
                <w:szCs w:val="14"/>
              </w:rPr>
              <w:t xml:space="preserve">the </w:t>
            </w:r>
            <w:r w:rsidR="008F21FF" w:rsidRPr="0039600B">
              <w:rPr>
                <w:rFonts w:ascii="Calibri" w:eastAsia="Georgia" w:hAnsi="Calibri" w:cs="Calibri"/>
                <w:color w:val="000000"/>
                <w:sz w:val="14"/>
                <w:szCs w:val="14"/>
              </w:rPr>
              <w:t>provisions of law excluding such possibility to the extent determined therein,</w:t>
            </w:r>
            <w:r w:rsidRPr="0039600B">
              <w:rPr>
                <w:rFonts w:ascii="Calibri" w:eastAsia="Georgia" w:hAnsi="Calibri" w:cs="Calibri"/>
                <w:color w:val="000000"/>
                <w:sz w:val="14"/>
                <w:szCs w:val="14"/>
              </w:rPr>
              <w:t xml:space="preserve"> may terminate the Service Agreement immediately at any time for cause upon written</w:t>
            </w:r>
            <w:r w:rsidRPr="00755383">
              <w:rPr>
                <w:rFonts w:ascii="Calibri" w:eastAsia="Georgia" w:hAnsi="Calibri" w:cs="Calibri"/>
                <w:color w:val="000000"/>
                <w:sz w:val="14"/>
                <w:szCs w:val="14"/>
              </w:rPr>
              <w:t xml:space="preserve"> notice to the other if the other party:</w:t>
            </w:r>
          </w:p>
        </w:tc>
        <w:tc>
          <w:tcPr>
            <w:tcW w:w="5812" w:type="dxa"/>
            <w:shd w:val="clear" w:color="auto" w:fill="auto"/>
            <w:noWrap/>
            <w:hideMark/>
          </w:tcPr>
          <w:p w14:paraId="05D5F6E3" w14:textId="1EA0508A" w:rsidR="005A020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Bez ograniczania jakichkolwiek innych przysługujących praw lub środków ochrony prawnej, każda ze stron</w:t>
            </w:r>
            <w:r w:rsidR="00DD7D92" w:rsidRPr="00755383">
              <w:rPr>
                <w:rFonts w:ascii="Calibri" w:eastAsia="Georgia" w:hAnsi="Calibri" w:cs="Calibri"/>
                <w:color w:val="000000"/>
                <w:sz w:val="14"/>
                <w:szCs w:val="14"/>
                <w:lang w:val="pl-PL"/>
              </w:rPr>
              <w:t xml:space="preserve">, </w:t>
            </w:r>
            <w:r w:rsidR="00071087" w:rsidRPr="00755383">
              <w:rPr>
                <w:rFonts w:ascii="Calibri" w:eastAsia="Georgia" w:hAnsi="Calibri" w:cs="Calibri"/>
                <w:color w:val="000000"/>
                <w:sz w:val="14"/>
                <w:szCs w:val="14"/>
                <w:lang w:val="pl-PL"/>
              </w:rPr>
              <w:t>z zastrzeżeniem przepisów prawa wyłączających w zakresie w nich wskazanych taką możliwość,</w:t>
            </w:r>
            <w:r w:rsidRPr="00755383">
              <w:rPr>
                <w:rFonts w:ascii="Calibri" w:eastAsia="Georgia" w:hAnsi="Calibri" w:cs="Calibri"/>
                <w:color w:val="000000"/>
                <w:sz w:val="14"/>
                <w:szCs w:val="14"/>
                <w:lang w:val="pl-PL"/>
              </w:rPr>
              <w:t xml:space="preserve"> może </w:t>
            </w:r>
            <w:r w:rsidR="00DA6198" w:rsidRPr="00755383">
              <w:rPr>
                <w:rFonts w:ascii="Calibri" w:eastAsia="Georgia" w:hAnsi="Calibri" w:cs="Calibri"/>
                <w:color w:val="000000"/>
                <w:sz w:val="14"/>
                <w:szCs w:val="14"/>
                <w:lang w:val="pl-PL"/>
              </w:rPr>
              <w:t xml:space="preserve">ze skutkiem </w:t>
            </w:r>
            <w:r w:rsidRPr="00755383">
              <w:rPr>
                <w:rFonts w:ascii="Calibri" w:eastAsia="Georgia" w:hAnsi="Calibri" w:cs="Calibri"/>
                <w:color w:val="000000"/>
                <w:sz w:val="14"/>
                <w:szCs w:val="14"/>
                <w:lang w:val="pl-PL"/>
              </w:rPr>
              <w:t>natychmiast</w:t>
            </w:r>
            <w:r w:rsidR="00DA6198" w:rsidRPr="00755383">
              <w:rPr>
                <w:rFonts w:ascii="Calibri" w:eastAsia="Georgia" w:hAnsi="Calibri" w:cs="Calibri"/>
                <w:color w:val="000000"/>
                <w:sz w:val="14"/>
                <w:szCs w:val="14"/>
                <w:lang w:val="pl-PL"/>
              </w:rPr>
              <w:t>owym</w:t>
            </w:r>
            <w:r w:rsidRPr="00755383">
              <w:rPr>
                <w:rFonts w:ascii="Calibri" w:eastAsia="Georgia" w:hAnsi="Calibri" w:cs="Calibri"/>
                <w:color w:val="000000"/>
                <w:sz w:val="14"/>
                <w:szCs w:val="14"/>
                <w:lang w:val="pl-PL"/>
              </w:rPr>
              <w:t xml:space="preserve"> rozwiązać </w:t>
            </w:r>
            <w:proofErr w:type="spellStart"/>
            <w:r w:rsidRPr="00755383">
              <w:rPr>
                <w:rFonts w:ascii="Calibri" w:eastAsia="Georgia" w:hAnsi="Calibri" w:cs="Calibri"/>
                <w:color w:val="000000"/>
                <w:sz w:val="14"/>
                <w:szCs w:val="14"/>
                <w:lang w:val="pl-PL"/>
              </w:rPr>
              <w:t>Umowȩ</w:t>
            </w:r>
            <w:proofErr w:type="spellEnd"/>
            <w:r w:rsidRPr="00755383">
              <w:rPr>
                <w:rFonts w:ascii="Calibri" w:eastAsia="Georgia" w:hAnsi="Calibri" w:cs="Calibri"/>
                <w:color w:val="000000"/>
                <w:sz w:val="14"/>
                <w:szCs w:val="14"/>
                <w:lang w:val="pl-PL"/>
              </w:rPr>
              <w:t xml:space="preserve"> o Świadczeniu Usług z </w:t>
            </w:r>
            <w:r w:rsidR="00572443" w:rsidRPr="00755383">
              <w:rPr>
                <w:rFonts w:ascii="Calibri" w:eastAsia="Georgia" w:hAnsi="Calibri" w:cs="Calibri"/>
                <w:color w:val="000000"/>
                <w:sz w:val="14"/>
                <w:szCs w:val="14"/>
                <w:lang w:val="pl-PL"/>
              </w:rPr>
              <w:t xml:space="preserve">ważnej podanej niżej </w:t>
            </w:r>
            <w:r w:rsidRPr="00755383">
              <w:rPr>
                <w:rFonts w:ascii="Calibri" w:eastAsia="Georgia" w:hAnsi="Calibri" w:cs="Calibri"/>
                <w:color w:val="000000"/>
                <w:sz w:val="14"/>
                <w:szCs w:val="14"/>
                <w:lang w:val="pl-PL"/>
              </w:rPr>
              <w:t xml:space="preserve">przyczyny za pisemnym powiadomieniem drugiej strony, jeśli druga strona: </w:t>
            </w:r>
          </w:p>
        </w:tc>
      </w:tr>
      <w:tr w:rsidR="006163B3" w:rsidRPr="00755383" w14:paraId="525C8F9D" w14:textId="77777777" w:rsidTr="006C27F7">
        <w:trPr>
          <w:trHeight w:val="277"/>
        </w:trPr>
        <w:tc>
          <w:tcPr>
            <w:tcW w:w="5245" w:type="dxa"/>
            <w:shd w:val="clear" w:color="auto" w:fill="auto"/>
            <w:noWrap/>
            <w:hideMark/>
          </w:tcPr>
          <w:p w14:paraId="0281D29C" w14:textId="2DDFC9CA" w:rsidR="005A0203" w:rsidRPr="00755383" w:rsidRDefault="005A0203" w:rsidP="0088733C">
            <w:pPr>
              <w:pStyle w:val="ListParagraph"/>
              <w:numPr>
                <w:ilvl w:val="0"/>
                <w:numId w:val="28"/>
              </w:numPr>
              <w:spacing w:after="0" w:line="240" w:lineRule="auto"/>
              <w:ind w:left="1030" w:hanging="425"/>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 xml:space="preserve">fails to perform any material obligation of the Service Agreement and (if such breach is remediable) fails to remedy that breach within </w:t>
            </w:r>
            <w:r w:rsidR="0039600B">
              <w:rPr>
                <w:rFonts w:ascii="Calibri" w:eastAsia="Georgia" w:hAnsi="Calibri" w:cs="Calibri"/>
                <w:color w:val="000000"/>
                <w:sz w:val="14"/>
                <w:szCs w:val="14"/>
              </w:rPr>
              <w:t>thirty (</w:t>
            </w:r>
            <w:r w:rsidRPr="00755383">
              <w:rPr>
                <w:rFonts w:ascii="Calibri" w:eastAsia="Georgia" w:hAnsi="Calibri" w:cs="Calibri"/>
                <w:color w:val="000000"/>
                <w:sz w:val="14"/>
                <w:szCs w:val="14"/>
              </w:rPr>
              <w:t>30</w:t>
            </w:r>
            <w:r w:rsidR="0039600B">
              <w:rPr>
                <w:rFonts w:ascii="Calibri" w:eastAsia="Georgia" w:hAnsi="Calibri" w:cs="Calibri"/>
                <w:color w:val="000000"/>
                <w:sz w:val="14"/>
                <w:szCs w:val="14"/>
              </w:rPr>
              <w:t>)</w:t>
            </w:r>
            <w:r w:rsidRPr="00755383">
              <w:rPr>
                <w:rFonts w:ascii="Calibri" w:eastAsia="Georgia" w:hAnsi="Calibri" w:cs="Calibri"/>
                <w:color w:val="000000"/>
                <w:sz w:val="14"/>
                <w:szCs w:val="14"/>
              </w:rPr>
              <w:t xml:space="preserve"> days after receipt of notice in writing to do so;  </w:t>
            </w:r>
          </w:p>
        </w:tc>
        <w:tc>
          <w:tcPr>
            <w:tcW w:w="5812" w:type="dxa"/>
            <w:shd w:val="clear" w:color="auto" w:fill="auto"/>
            <w:noWrap/>
            <w:hideMark/>
          </w:tcPr>
          <w:p w14:paraId="3427704A" w14:textId="14E7B732" w:rsidR="000E5833" w:rsidRPr="00755383" w:rsidRDefault="005A0203" w:rsidP="00822AF8">
            <w:pPr>
              <w:pStyle w:val="ListParagraph"/>
              <w:numPr>
                <w:ilvl w:val="0"/>
                <w:numId w:val="32"/>
              </w:numPr>
              <w:spacing w:after="0" w:line="240" w:lineRule="auto"/>
              <w:ind w:left="888" w:hanging="425"/>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nie wykona któregokolwiek istotnego zobowiązania Umowy o Świadczeniu Usług i (jeśli takie naruszenie jest możliwe do naprawienia) nie naprawi tego naruszenia w ciągu </w:t>
            </w:r>
            <w:r w:rsidR="0039600B" w:rsidRPr="0039600B">
              <w:rPr>
                <w:rFonts w:ascii="Calibri" w:eastAsia="Georgia" w:hAnsi="Calibri" w:cs="Calibri"/>
                <w:color w:val="000000"/>
                <w:sz w:val="14"/>
                <w:szCs w:val="14"/>
                <w:lang w:val="pl-PL"/>
              </w:rPr>
              <w:t>trzydzieści</w:t>
            </w:r>
            <w:r w:rsidR="0039600B">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30</w:t>
            </w:r>
            <w:r w:rsidR="0039600B">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 dni od otrzymaniu pisemnego </w:t>
            </w:r>
            <w:r w:rsidR="00572443" w:rsidRPr="00755383">
              <w:rPr>
                <w:rFonts w:ascii="Calibri" w:eastAsia="Georgia" w:hAnsi="Calibri" w:cs="Calibri"/>
                <w:color w:val="000000"/>
                <w:sz w:val="14"/>
                <w:szCs w:val="14"/>
                <w:lang w:val="pl-PL"/>
              </w:rPr>
              <w:t>wezwania do naprawy;</w:t>
            </w:r>
          </w:p>
          <w:p w14:paraId="49796D22" w14:textId="7B1086F8" w:rsidR="005A0203" w:rsidRPr="00755383" w:rsidRDefault="005A0203" w:rsidP="000E5833">
            <w:pPr>
              <w:spacing w:after="0" w:line="240" w:lineRule="auto"/>
              <w:ind w:left="888" w:hanging="425"/>
              <w:jc w:val="both"/>
              <w:rPr>
                <w:rFonts w:ascii="Calibri" w:eastAsia="Times New Roman" w:hAnsi="Calibri" w:cs="Calibri"/>
                <w:color w:val="000000"/>
                <w:sz w:val="14"/>
                <w:szCs w:val="14"/>
                <w:lang w:val="pl-PL"/>
              </w:rPr>
            </w:pPr>
          </w:p>
        </w:tc>
      </w:tr>
      <w:tr w:rsidR="006163B3" w:rsidRPr="00755383" w14:paraId="4524B3F4" w14:textId="77777777" w:rsidTr="006C27F7">
        <w:trPr>
          <w:trHeight w:val="1411"/>
        </w:trPr>
        <w:tc>
          <w:tcPr>
            <w:tcW w:w="5245" w:type="dxa"/>
            <w:shd w:val="clear" w:color="auto" w:fill="auto"/>
            <w:noWrap/>
            <w:hideMark/>
          </w:tcPr>
          <w:p w14:paraId="43FE57D8" w14:textId="576492B3" w:rsidR="005A0203" w:rsidRPr="00755383" w:rsidRDefault="005A0203" w:rsidP="00822AF8">
            <w:pPr>
              <w:pStyle w:val="ListParagraph"/>
              <w:numPr>
                <w:ilvl w:val="0"/>
                <w:numId w:val="32"/>
              </w:numPr>
              <w:spacing w:after="0" w:line="240" w:lineRule="auto"/>
              <w:ind w:left="1017" w:hanging="425"/>
              <w:jc w:val="both"/>
              <w:rPr>
                <w:rFonts w:ascii="Calibri" w:eastAsia="Georgia" w:hAnsi="Calibri" w:cs="Calibri"/>
                <w:color w:val="000000"/>
                <w:sz w:val="14"/>
                <w:szCs w:val="14"/>
              </w:rPr>
            </w:pPr>
            <w:r w:rsidRPr="00755383">
              <w:rPr>
                <w:rFonts w:ascii="Calibri" w:eastAsia="Georgia" w:hAnsi="Calibri" w:cs="Calibri"/>
                <w:color w:val="000000"/>
                <w:sz w:val="14"/>
                <w:szCs w:val="14"/>
              </w:rPr>
              <w:lastRenderedPageBreak/>
              <w:t>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tc>
        <w:tc>
          <w:tcPr>
            <w:tcW w:w="5812" w:type="dxa"/>
            <w:shd w:val="clear" w:color="auto" w:fill="auto"/>
            <w:noWrap/>
            <w:hideMark/>
          </w:tcPr>
          <w:p w14:paraId="0F7CE332" w14:textId="0718B955" w:rsidR="005A0203" w:rsidRPr="00755383" w:rsidRDefault="005A0203" w:rsidP="00822AF8">
            <w:pPr>
              <w:pStyle w:val="ListParagraph"/>
              <w:numPr>
                <w:ilvl w:val="0"/>
                <w:numId w:val="28"/>
              </w:numPr>
              <w:spacing w:after="0" w:line="240" w:lineRule="auto"/>
              <w:ind w:left="888"/>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 xml:space="preserve">podejmie jakiekolwiek kroki lub działania w związku z objęciem zarządem przymusowym, tymczasową likwidacją, lub jakąkolwiek ugodą lub układem z wierzycielami (innym niż w związku z restrukturyzacją w stanie wypłacalnym), w związku z likwidacją (zarówno dobrowolnie, lub na mocy postanowienia sądu, chyba że w celu restrukturyzacji w stanie wypłacalnym), wyznaczeniem syndyka masy upadłościowej w odniesieniu do jakichkolwiek z jej aktywów, lub zaprzestaniem działalności biznesowej lub, jeśli kroki, lub działanie są podejmowane w innej jurysdykcji, w związku z jakąkolwiek analogiczną procedurą w właściwej jurysdykcji; </w:t>
            </w:r>
          </w:p>
        </w:tc>
      </w:tr>
      <w:tr w:rsidR="006163B3" w:rsidRPr="00755383" w14:paraId="74D3F56B" w14:textId="77777777" w:rsidTr="006C27F7">
        <w:trPr>
          <w:trHeight w:val="389"/>
        </w:trPr>
        <w:tc>
          <w:tcPr>
            <w:tcW w:w="5245" w:type="dxa"/>
            <w:shd w:val="clear" w:color="auto" w:fill="auto"/>
            <w:noWrap/>
            <w:hideMark/>
          </w:tcPr>
          <w:p w14:paraId="2C1879B9" w14:textId="607DB171" w:rsidR="005A0203" w:rsidRPr="00755383" w:rsidRDefault="005A0203" w:rsidP="00822AF8">
            <w:pPr>
              <w:pStyle w:val="ListParagraph"/>
              <w:numPr>
                <w:ilvl w:val="0"/>
                <w:numId w:val="32"/>
              </w:numPr>
              <w:spacing w:after="0" w:line="240" w:lineRule="auto"/>
              <w:ind w:left="1017" w:hanging="425"/>
              <w:jc w:val="both"/>
              <w:rPr>
                <w:rFonts w:ascii="Calibri" w:eastAsia="Georgia" w:hAnsi="Calibri" w:cs="Calibri"/>
                <w:color w:val="000000"/>
                <w:sz w:val="14"/>
                <w:szCs w:val="14"/>
              </w:rPr>
            </w:pPr>
            <w:r w:rsidRPr="00755383">
              <w:rPr>
                <w:rFonts w:ascii="Calibri" w:eastAsia="Georgia" w:hAnsi="Calibri" w:cs="Calibri"/>
                <w:color w:val="000000"/>
                <w:sz w:val="14"/>
                <w:szCs w:val="14"/>
              </w:rPr>
              <w:t>the other party suspends, or threatens to suspend, or ceases or threatens to cease to carry on all or a substantial part of its business; or</w:t>
            </w:r>
          </w:p>
        </w:tc>
        <w:tc>
          <w:tcPr>
            <w:tcW w:w="5812" w:type="dxa"/>
            <w:shd w:val="clear" w:color="auto" w:fill="auto"/>
            <w:noWrap/>
            <w:hideMark/>
          </w:tcPr>
          <w:p w14:paraId="42027F21" w14:textId="28ED7E1E" w:rsidR="005A0203" w:rsidRPr="00755383" w:rsidRDefault="005A0203" w:rsidP="00822AF8">
            <w:pPr>
              <w:pStyle w:val="ListParagraph"/>
              <w:numPr>
                <w:ilvl w:val="0"/>
                <w:numId w:val="28"/>
              </w:numPr>
              <w:spacing w:after="0" w:line="240" w:lineRule="auto"/>
              <w:ind w:left="888" w:hanging="425"/>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 xml:space="preserve">druga strona zawiesi lub zagrozi zawieszeniem, lub zaprzestanie, lub grozi zaprzestaniem prowadzenia całości, lub znacznej </w:t>
            </w:r>
            <w:proofErr w:type="spellStart"/>
            <w:r w:rsidRPr="00755383">
              <w:rPr>
                <w:rFonts w:ascii="Calibri" w:eastAsia="Georgia" w:hAnsi="Calibri" w:cs="Calibri"/>
                <w:color w:val="000000"/>
                <w:sz w:val="14"/>
                <w:szCs w:val="14"/>
                <w:lang w:val="pl-PL"/>
              </w:rPr>
              <w:t>czȩści</w:t>
            </w:r>
            <w:proofErr w:type="spellEnd"/>
            <w:r w:rsidRPr="00755383">
              <w:rPr>
                <w:rFonts w:ascii="Calibri" w:eastAsia="Georgia" w:hAnsi="Calibri" w:cs="Calibri"/>
                <w:color w:val="000000"/>
                <w:sz w:val="14"/>
                <w:szCs w:val="14"/>
                <w:lang w:val="pl-PL"/>
              </w:rPr>
              <w:t xml:space="preserve"> swojej działalności biznesowej; lub</w:t>
            </w:r>
          </w:p>
        </w:tc>
      </w:tr>
      <w:tr w:rsidR="006163B3" w:rsidRPr="00755383" w14:paraId="1BE3D755" w14:textId="77777777" w:rsidTr="006C27F7">
        <w:trPr>
          <w:trHeight w:val="438"/>
        </w:trPr>
        <w:tc>
          <w:tcPr>
            <w:tcW w:w="5245" w:type="dxa"/>
            <w:shd w:val="clear" w:color="auto" w:fill="auto"/>
            <w:noWrap/>
            <w:hideMark/>
          </w:tcPr>
          <w:p w14:paraId="027B0150" w14:textId="002E0CF9" w:rsidR="005A0203" w:rsidRPr="00755383" w:rsidRDefault="005A0203" w:rsidP="00822AF8">
            <w:pPr>
              <w:pStyle w:val="ListParagraph"/>
              <w:numPr>
                <w:ilvl w:val="0"/>
                <w:numId w:val="32"/>
              </w:numPr>
              <w:spacing w:after="0" w:line="240" w:lineRule="auto"/>
              <w:ind w:left="1017" w:hanging="425"/>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the other party’s financial position deteriorates to such an extent that in the terminating party’s opinion the other party’s capability to adequately fulfil its obligations under the Service Agreement has been placed in jeopardy.  </w:t>
            </w:r>
          </w:p>
        </w:tc>
        <w:tc>
          <w:tcPr>
            <w:tcW w:w="5812" w:type="dxa"/>
            <w:shd w:val="clear" w:color="auto" w:fill="auto"/>
            <w:noWrap/>
            <w:hideMark/>
          </w:tcPr>
          <w:p w14:paraId="43EDFBDB" w14:textId="3A0C184B" w:rsidR="005A0203" w:rsidRPr="00755383" w:rsidRDefault="005A0203" w:rsidP="00822AF8">
            <w:pPr>
              <w:pStyle w:val="ListParagraph"/>
              <w:numPr>
                <w:ilvl w:val="0"/>
                <w:numId w:val="28"/>
              </w:numPr>
              <w:spacing w:after="0" w:line="240" w:lineRule="auto"/>
              <w:ind w:left="888" w:hanging="425"/>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 xml:space="preserve">sytuacja finansowa drugiej strony pogorszy </w:t>
            </w:r>
            <w:proofErr w:type="spellStart"/>
            <w:r w:rsidRPr="00755383">
              <w:rPr>
                <w:rFonts w:ascii="Calibri" w:eastAsia="Georgia" w:hAnsi="Calibri" w:cs="Calibri"/>
                <w:color w:val="000000"/>
                <w:sz w:val="14"/>
                <w:szCs w:val="14"/>
                <w:lang w:val="pl-PL"/>
              </w:rPr>
              <w:t>siȩ</w:t>
            </w:r>
            <w:proofErr w:type="spellEnd"/>
            <w:r w:rsidRPr="00755383">
              <w:rPr>
                <w:rFonts w:ascii="Calibri" w:eastAsia="Georgia" w:hAnsi="Calibri" w:cs="Calibri"/>
                <w:color w:val="000000"/>
                <w:sz w:val="14"/>
                <w:szCs w:val="14"/>
                <w:lang w:val="pl-PL"/>
              </w:rPr>
              <w:t xml:space="preserve"> do tego stopnia, że w opinii strony rozwiązującej zdolność drugiej strony do należytego wypełniania zobowiązań wynikających z Umowy o Świadczeniu Usług została zagrożona.  </w:t>
            </w:r>
          </w:p>
        </w:tc>
      </w:tr>
      <w:tr w:rsidR="006163B3" w:rsidRPr="00755383" w14:paraId="658A53B6" w14:textId="77777777" w:rsidTr="006C27F7">
        <w:trPr>
          <w:trHeight w:val="57"/>
        </w:trPr>
        <w:tc>
          <w:tcPr>
            <w:tcW w:w="5245" w:type="dxa"/>
            <w:shd w:val="clear" w:color="auto" w:fill="auto"/>
            <w:noWrap/>
            <w:hideMark/>
          </w:tcPr>
          <w:p w14:paraId="0EC88909" w14:textId="5F82ADB0" w:rsidR="005A0203" w:rsidRPr="00755383" w:rsidRDefault="005A0203" w:rsidP="000E5833">
            <w:pPr>
              <w:pStyle w:val="ListParagraph"/>
              <w:numPr>
                <w:ilvl w:val="0"/>
                <w:numId w:val="26"/>
              </w:numPr>
              <w:spacing w:after="0" w:line="240" w:lineRule="auto"/>
              <w:ind w:left="592" w:hanging="567"/>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Upon termination pursuant to this clause:</w:t>
            </w:r>
          </w:p>
        </w:tc>
        <w:tc>
          <w:tcPr>
            <w:tcW w:w="5812" w:type="dxa"/>
            <w:shd w:val="clear" w:color="auto" w:fill="auto"/>
            <w:noWrap/>
            <w:hideMark/>
          </w:tcPr>
          <w:p w14:paraId="3E3DD7BD" w14:textId="771D4DF5" w:rsidR="005A020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Po rozwiązaniu umowy na podstawie niniejszego </w:t>
            </w:r>
            <w:proofErr w:type="spellStart"/>
            <w:r w:rsidRPr="00755383">
              <w:rPr>
                <w:rFonts w:ascii="Calibri" w:eastAsia="Georgia" w:hAnsi="Calibri" w:cs="Calibri"/>
                <w:color w:val="000000"/>
                <w:sz w:val="14"/>
                <w:szCs w:val="14"/>
                <w:lang w:val="pl-PL"/>
              </w:rPr>
              <w:t>ustȩpu</w:t>
            </w:r>
            <w:proofErr w:type="spellEnd"/>
            <w:r w:rsidRPr="00755383">
              <w:rPr>
                <w:rFonts w:ascii="Calibri" w:eastAsia="Georgia" w:hAnsi="Calibri" w:cs="Calibri"/>
                <w:color w:val="000000"/>
                <w:sz w:val="14"/>
                <w:szCs w:val="14"/>
                <w:lang w:val="pl-PL"/>
              </w:rPr>
              <w:t xml:space="preserve">: </w:t>
            </w:r>
          </w:p>
        </w:tc>
      </w:tr>
      <w:tr w:rsidR="006163B3" w:rsidRPr="00755383" w14:paraId="61D3B226" w14:textId="77777777" w:rsidTr="006C27F7">
        <w:trPr>
          <w:trHeight w:val="254"/>
        </w:trPr>
        <w:tc>
          <w:tcPr>
            <w:tcW w:w="5245" w:type="dxa"/>
            <w:shd w:val="clear" w:color="auto" w:fill="auto"/>
            <w:noWrap/>
            <w:hideMark/>
          </w:tcPr>
          <w:p w14:paraId="06BA5618" w14:textId="5FDC9549" w:rsidR="005A0203" w:rsidRPr="00755383" w:rsidRDefault="005A0203" w:rsidP="00822AF8">
            <w:pPr>
              <w:pStyle w:val="ListParagraph"/>
              <w:numPr>
                <w:ilvl w:val="0"/>
                <w:numId w:val="33"/>
              </w:numPr>
              <w:spacing w:after="0" w:line="240" w:lineRule="auto"/>
              <w:ind w:left="1017" w:hanging="425"/>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the Customer shall immediately pay all amounts due under the Service Agreement;</w:t>
            </w:r>
          </w:p>
        </w:tc>
        <w:tc>
          <w:tcPr>
            <w:tcW w:w="5812" w:type="dxa"/>
            <w:shd w:val="clear" w:color="auto" w:fill="auto"/>
            <w:noWrap/>
            <w:hideMark/>
          </w:tcPr>
          <w:p w14:paraId="35859C8E" w14:textId="1029A062" w:rsidR="000E5833" w:rsidRPr="00755383" w:rsidRDefault="005A0203" w:rsidP="000E5833">
            <w:pPr>
              <w:pStyle w:val="ListParagraph"/>
              <w:numPr>
                <w:ilvl w:val="0"/>
                <w:numId w:val="30"/>
              </w:numPr>
              <w:spacing w:after="0" w:line="240" w:lineRule="auto"/>
              <w:ind w:left="888" w:hanging="425"/>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Klient niezwłocznie zapłaci wszelkie należności wynikające z Umowy o Świadczeniu Usług;</w:t>
            </w:r>
          </w:p>
        </w:tc>
      </w:tr>
      <w:tr w:rsidR="006163B3" w:rsidRPr="00755383" w14:paraId="74225CEB" w14:textId="77777777" w:rsidTr="006C27F7">
        <w:trPr>
          <w:trHeight w:val="651"/>
        </w:trPr>
        <w:tc>
          <w:tcPr>
            <w:tcW w:w="5245" w:type="dxa"/>
            <w:shd w:val="clear" w:color="auto" w:fill="auto"/>
            <w:noWrap/>
            <w:hideMark/>
          </w:tcPr>
          <w:p w14:paraId="11664F59" w14:textId="186BC512" w:rsidR="005A0203" w:rsidRPr="00755383" w:rsidRDefault="005A0203" w:rsidP="00822AF8">
            <w:pPr>
              <w:pStyle w:val="ListParagraph"/>
              <w:numPr>
                <w:ilvl w:val="0"/>
                <w:numId w:val="33"/>
              </w:numPr>
              <w:spacing w:after="0" w:line="240" w:lineRule="auto"/>
              <w:ind w:left="1017" w:hanging="425"/>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the Customer shall return all of Videojet's materials which have not been fully paid for. Until they have been returned, the Customer shall be solely responsible for their safe keeping and will not use them for any purpose not connected with this Service Agreement.</w:t>
            </w:r>
          </w:p>
        </w:tc>
        <w:tc>
          <w:tcPr>
            <w:tcW w:w="5812" w:type="dxa"/>
            <w:shd w:val="clear" w:color="auto" w:fill="auto"/>
            <w:noWrap/>
            <w:hideMark/>
          </w:tcPr>
          <w:p w14:paraId="1CFEC042" w14:textId="7973F716" w:rsidR="005A0203" w:rsidRPr="00755383" w:rsidRDefault="005A0203" w:rsidP="000E5833">
            <w:pPr>
              <w:pStyle w:val="ListParagraph"/>
              <w:numPr>
                <w:ilvl w:val="0"/>
                <w:numId w:val="30"/>
              </w:numPr>
              <w:spacing w:after="0" w:line="240" w:lineRule="auto"/>
              <w:ind w:left="888" w:hanging="425"/>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Klient zwróci wszystkie materiały</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DB4C86" w:rsidRPr="00755383">
              <w:rPr>
                <w:rFonts w:ascii="Calibri" w:eastAsia="Georgia" w:hAnsi="Calibri" w:cs="Calibri"/>
                <w:color w:val="000000"/>
                <w:sz w:val="14"/>
                <w:szCs w:val="14"/>
                <w:lang w:val="pl-PL"/>
              </w:rPr>
              <w:t>,</w:t>
            </w:r>
            <w:r w:rsidR="009111D1" w:rsidRPr="00755383">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za które nie zapłacono w całości. Do czasu ich zwrotu Klient ponosi wyłączną odpowiedzialność za ich bezpiecznie przechowywanie i nie </w:t>
            </w:r>
            <w:proofErr w:type="spellStart"/>
            <w:r w:rsidRPr="00755383">
              <w:rPr>
                <w:rFonts w:ascii="Calibri" w:eastAsia="Georgia" w:hAnsi="Calibri" w:cs="Calibri"/>
                <w:color w:val="000000"/>
                <w:sz w:val="14"/>
                <w:szCs w:val="14"/>
                <w:lang w:val="pl-PL"/>
              </w:rPr>
              <w:t>bȩdzie</w:t>
            </w:r>
            <w:proofErr w:type="spellEnd"/>
            <w:r w:rsidRPr="00755383">
              <w:rPr>
                <w:rFonts w:ascii="Calibri" w:eastAsia="Georgia" w:hAnsi="Calibri" w:cs="Calibri"/>
                <w:color w:val="000000"/>
                <w:sz w:val="14"/>
                <w:szCs w:val="14"/>
                <w:lang w:val="pl-PL"/>
              </w:rPr>
              <w:t xml:space="preserve"> ich używać do jakichkolwiek celów nie związanych z niniejszą Umową o Świadczeniu Usług. </w:t>
            </w:r>
          </w:p>
        </w:tc>
      </w:tr>
      <w:tr w:rsidR="006163B3" w:rsidRPr="00755383" w14:paraId="648D4F89" w14:textId="77777777" w:rsidTr="006C27F7">
        <w:trPr>
          <w:trHeight w:val="709"/>
        </w:trPr>
        <w:tc>
          <w:tcPr>
            <w:tcW w:w="5245" w:type="dxa"/>
            <w:shd w:val="clear" w:color="auto" w:fill="auto"/>
            <w:noWrap/>
            <w:hideMark/>
          </w:tcPr>
          <w:p w14:paraId="6553A55F" w14:textId="4C41F3C0" w:rsidR="005A0203" w:rsidRPr="00755383" w:rsidRDefault="005A0203" w:rsidP="000E5833">
            <w:pPr>
              <w:pStyle w:val="ListParagraph"/>
              <w:numPr>
                <w:ilvl w:val="0"/>
                <w:numId w:val="26"/>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Either party may terminate the Service Agreement for its convenience upon </w:t>
            </w:r>
            <w:r w:rsidR="0039600B">
              <w:rPr>
                <w:rFonts w:ascii="Calibri" w:eastAsia="Georgia" w:hAnsi="Calibri" w:cs="Calibri"/>
                <w:color w:val="000000"/>
                <w:sz w:val="14"/>
                <w:szCs w:val="14"/>
              </w:rPr>
              <w:t>thirty (</w:t>
            </w:r>
            <w:r w:rsidRPr="00755383">
              <w:rPr>
                <w:rFonts w:ascii="Calibri" w:eastAsia="Georgia" w:hAnsi="Calibri" w:cs="Calibri"/>
                <w:color w:val="000000"/>
                <w:sz w:val="14"/>
                <w:szCs w:val="14"/>
              </w:rPr>
              <w:t>30</w:t>
            </w:r>
            <w:r w:rsidR="0039600B">
              <w:rPr>
                <w:rFonts w:ascii="Calibri" w:eastAsia="Georgia" w:hAnsi="Calibri" w:cs="Calibri"/>
                <w:color w:val="000000"/>
                <w:sz w:val="14"/>
                <w:szCs w:val="14"/>
              </w:rPr>
              <w:t>)</w:t>
            </w:r>
            <w:r w:rsidRPr="00755383">
              <w:rPr>
                <w:rFonts w:ascii="Calibri" w:eastAsia="Georgia" w:hAnsi="Calibri" w:cs="Calibri"/>
                <w:color w:val="000000"/>
                <w:sz w:val="14"/>
                <w:szCs w:val="14"/>
              </w:rPr>
              <w:t xml:space="preserve"> days prior written notice to the other party. However, the parties acknowledge and agree that the Term identified in the Service Agreement is the essence of Videojet's pricing and Videojet will suffer losses if the Service Agreement is terminated prior to the expiration of such Term. Therefore, in the event of termination for convenience by the Customer during the Term, the Customer shall pay an early termination fee to reimburse Videojet for such losses; such fee is a genuine pre estimate of Videojet's loss. The early termination fee will be computed as follows: Months Remaining in Term x Monthly Fee (Pro-Rated for Annual/Quarterly Service Agreements) x 65%. </w:t>
            </w:r>
            <w:r w:rsidR="00F13556" w:rsidRPr="00755383">
              <w:rPr>
                <w:rFonts w:ascii="Calibri" w:eastAsia="Georgia" w:hAnsi="Calibri" w:cs="Calibri"/>
                <w:color w:val="000000"/>
                <w:sz w:val="14"/>
                <w:szCs w:val="14"/>
              </w:rPr>
              <w:t xml:space="preserve">If the damage exceeds the early termination fee, Videojet may seek additional compensation in line with general conditions/principles of applicable law.   </w:t>
            </w:r>
            <w:r w:rsidRPr="00755383">
              <w:rPr>
                <w:rFonts w:ascii="Calibri" w:eastAsia="Georgia" w:hAnsi="Calibri" w:cs="Calibri"/>
                <w:color w:val="000000"/>
                <w:sz w:val="14"/>
                <w:szCs w:val="14"/>
              </w:rPr>
              <w:t>This early termination fee shall not apply in the event of early termination of the Service Agreement during a renewal term.</w:t>
            </w:r>
          </w:p>
        </w:tc>
        <w:tc>
          <w:tcPr>
            <w:tcW w:w="5812" w:type="dxa"/>
            <w:shd w:val="clear" w:color="auto" w:fill="auto"/>
            <w:noWrap/>
            <w:hideMark/>
          </w:tcPr>
          <w:p w14:paraId="54FC0D0B" w14:textId="583F4375" w:rsidR="005A020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Każda ze stron może rozwiązać </w:t>
            </w:r>
            <w:proofErr w:type="spellStart"/>
            <w:r w:rsidRPr="00755383">
              <w:rPr>
                <w:rFonts w:ascii="Calibri" w:eastAsia="Georgia" w:hAnsi="Calibri" w:cs="Calibri"/>
                <w:color w:val="000000"/>
                <w:sz w:val="14"/>
                <w:szCs w:val="14"/>
                <w:lang w:val="pl-PL"/>
              </w:rPr>
              <w:t>Umowȩ</w:t>
            </w:r>
            <w:proofErr w:type="spellEnd"/>
            <w:r w:rsidRPr="00755383">
              <w:rPr>
                <w:rFonts w:ascii="Calibri" w:eastAsia="Georgia" w:hAnsi="Calibri" w:cs="Calibri"/>
                <w:color w:val="000000"/>
                <w:sz w:val="14"/>
                <w:szCs w:val="14"/>
                <w:lang w:val="pl-PL"/>
              </w:rPr>
              <w:t xml:space="preserve"> o Świadczeniu Usług za </w:t>
            </w:r>
            <w:r w:rsidR="0039600B" w:rsidRPr="0039600B">
              <w:rPr>
                <w:rFonts w:ascii="Calibri" w:eastAsia="Georgia" w:hAnsi="Calibri" w:cs="Calibri"/>
                <w:color w:val="000000"/>
                <w:sz w:val="14"/>
                <w:szCs w:val="14"/>
                <w:lang w:val="pl-PL"/>
              </w:rPr>
              <w:t>trzydzieści</w:t>
            </w:r>
            <w:r w:rsidR="0039600B">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30</w:t>
            </w:r>
            <w:r w:rsidR="0039600B">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-dniowym pisemnym wypowiedzeniem. Strony przyjmują jednak do wiadomości i zgadzają się, że Okres Trwania określony w Umowie o Świadczeniu Usług </w:t>
            </w:r>
            <w:r w:rsidR="00964494" w:rsidRPr="00755383">
              <w:rPr>
                <w:rFonts w:ascii="Calibri" w:eastAsia="Georgia" w:hAnsi="Calibri" w:cs="Calibri"/>
                <w:color w:val="000000"/>
                <w:sz w:val="14"/>
                <w:szCs w:val="14"/>
                <w:lang w:val="pl-PL"/>
              </w:rPr>
              <w:t xml:space="preserve">jest kluczowy dla wycen </w:t>
            </w:r>
            <w:r w:rsidRPr="00755383">
              <w:rPr>
                <w:rFonts w:ascii="Calibri" w:eastAsia="Georgia" w:hAnsi="Calibri" w:cs="Calibri"/>
                <w:color w:val="000000"/>
                <w:sz w:val="14"/>
                <w:szCs w:val="14"/>
                <w:lang w:val="pl-PL"/>
              </w:rPr>
              <w:t>firmy</w:t>
            </w:r>
            <w:r w:rsidR="009111D1" w:rsidRPr="00755383">
              <w:rPr>
                <w:rFonts w:ascii="Calibri" w:eastAsia="Georgia" w:hAnsi="Calibri" w:cs="Calibri"/>
                <w:color w:val="000000"/>
                <w:sz w:val="14"/>
                <w:szCs w:val="14"/>
                <w:lang w:val="pl-PL"/>
              </w:rPr>
              <w:t xml:space="preserve"> </w:t>
            </w:r>
            <w:proofErr w:type="spellStart"/>
            <w:r w:rsidR="009111D1" w:rsidRPr="00755383">
              <w:rPr>
                <w:rFonts w:ascii="Calibri" w:eastAsia="Georgia" w:hAnsi="Calibri" w:cs="Calibri"/>
                <w:color w:val="000000"/>
                <w:sz w:val="14"/>
                <w:szCs w:val="14"/>
                <w:lang w:val="pl-PL"/>
              </w:rPr>
              <w:t>Videojet</w:t>
            </w:r>
            <w:proofErr w:type="spellEnd"/>
            <w:r w:rsidR="00C9499C" w:rsidRPr="00755383">
              <w:rPr>
                <w:rFonts w:ascii="Calibri" w:eastAsia="Georgia" w:hAnsi="Calibri" w:cs="Calibri"/>
                <w:color w:val="000000"/>
                <w:sz w:val="14"/>
                <w:szCs w:val="14"/>
                <w:lang w:val="pl-PL"/>
              </w:rPr>
              <w:t>, a</w:t>
            </w:r>
            <w:r w:rsidRPr="00755383">
              <w:rPr>
                <w:rFonts w:ascii="Calibri" w:eastAsia="Georgia" w:hAnsi="Calibri" w:cs="Calibri"/>
                <w:color w:val="000000"/>
                <w:sz w:val="14"/>
                <w:szCs w:val="14"/>
                <w:lang w:val="pl-PL"/>
              </w:rPr>
              <w:t xml:space="preserve">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poniesie straty jeśli Umowa o Świadczeniu Usług zostanie rozwiązana przed wygaśnięciem Okresu Trwania. W związku z tym, w przypadku rozwiązania umowy przez Klienta </w:t>
            </w:r>
            <w:r w:rsidR="00653CE8" w:rsidRPr="00755383">
              <w:rPr>
                <w:rFonts w:ascii="Calibri" w:eastAsia="Georgia" w:hAnsi="Calibri" w:cs="Calibri"/>
                <w:color w:val="000000"/>
                <w:sz w:val="14"/>
                <w:szCs w:val="14"/>
                <w:lang w:val="pl-PL"/>
              </w:rPr>
              <w:t xml:space="preserve">bez ważnej przyczyny </w:t>
            </w:r>
            <w:r w:rsidRPr="00755383">
              <w:rPr>
                <w:rFonts w:ascii="Calibri" w:eastAsia="Georgia" w:hAnsi="Calibri" w:cs="Calibri"/>
                <w:color w:val="000000"/>
                <w:sz w:val="14"/>
                <w:szCs w:val="14"/>
                <w:lang w:val="pl-PL"/>
              </w:rPr>
              <w:t xml:space="preserve">podczas Okresu Trwania, Klient zapłaci </w:t>
            </w:r>
            <w:proofErr w:type="spellStart"/>
            <w:r w:rsidRPr="00755383">
              <w:rPr>
                <w:rFonts w:ascii="Calibri" w:eastAsia="Georgia" w:hAnsi="Calibri" w:cs="Calibri"/>
                <w:color w:val="000000"/>
                <w:sz w:val="14"/>
                <w:szCs w:val="14"/>
                <w:lang w:val="pl-PL"/>
              </w:rPr>
              <w:t>opłatȩ</w:t>
            </w:r>
            <w:proofErr w:type="spellEnd"/>
            <w:r w:rsidRPr="00755383">
              <w:rPr>
                <w:rFonts w:ascii="Calibri" w:eastAsia="Georgia" w:hAnsi="Calibri" w:cs="Calibri"/>
                <w:color w:val="000000"/>
                <w:sz w:val="14"/>
                <w:szCs w:val="14"/>
                <w:lang w:val="pl-PL"/>
              </w:rPr>
              <w:t xml:space="preserve"> za wcześniejsze rozwiązanie, aby zrekompensować </w:t>
            </w:r>
            <w:r w:rsidR="00C9499C" w:rsidRPr="00755383">
              <w:rPr>
                <w:rFonts w:ascii="Calibri" w:eastAsia="Georgia" w:hAnsi="Calibri" w:cs="Calibri"/>
                <w:color w:val="000000"/>
                <w:sz w:val="14"/>
                <w:szCs w:val="14"/>
                <w:lang w:val="pl-PL"/>
              </w:rPr>
              <w:t xml:space="preserve">straty </w:t>
            </w:r>
            <w:proofErr w:type="spellStart"/>
            <w:r w:rsidRPr="00755383">
              <w:rPr>
                <w:rFonts w:ascii="Calibri" w:eastAsia="Georgia" w:hAnsi="Calibri" w:cs="Calibri"/>
                <w:color w:val="000000"/>
                <w:sz w:val="14"/>
                <w:szCs w:val="14"/>
                <w:lang w:val="pl-PL"/>
              </w:rPr>
              <w:t>Videojet</w:t>
            </w:r>
            <w:proofErr w:type="spellEnd"/>
            <w:r w:rsidR="00C9499C" w:rsidRPr="00755383">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 Opłata za wcześniejsze rozwiązanie umowy zostanie obliczona w następujący sposób: pozostała liczba miesięcy w Okresie Trwania </w:t>
            </w:r>
            <w:r w:rsidR="00840811" w:rsidRPr="00755383">
              <w:rPr>
                <w:rFonts w:ascii="Calibri" w:eastAsia="Georgia" w:hAnsi="Calibri" w:cs="Calibri"/>
                <w:color w:val="000000"/>
                <w:sz w:val="14"/>
                <w:szCs w:val="14"/>
                <w:lang w:val="pl-PL"/>
              </w:rPr>
              <w:t xml:space="preserve">razy </w:t>
            </w:r>
            <w:r w:rsidRPr="00755383">
              <w:rPr>
                <w:rFonts w:ascii="Calibri" w:eastAsia="Georgia" w:hAnsi="Calibri" w:cs="Calibri"/>
                <w:color w:val="000000"/>
                <w:sz w:val="14"/>
                <w:szCs w:val="14"/>
                <w:lang w:val="pl-PL"/>
              </w:rPr>
              <w:t xml:space="preserve">Opłata miesięczna (opłata proporcjonalna w przypadku rocznych / kwartalnych Umów o Świadczeniu Usług) </w:t>
            </w:r>
            <w:r w:rsidR="00840811" w:rsidRPr="00755383">
              <w:rPr>
                <w:rFonts w:ascii="Calibri" w:eastAsia="Georgia" w:hAnsi="Calibri" w:cs="Calibri"/>
                <w:color w:val="000000"/>
                <w:sz w:val="14"/>
                <w:szCs w:val="14"/>
                <w:lang w:val="pl-PL"/>
              </w:rPr>
              <w:t>razy</w:t>
            </w:r>
            <w:r w:rsidRPr="00755383">
              <w:rPr>
                <w:rFonts w:ascii="Calibri" w:eastAsia="Georgia" w:hAnsi="Calibri" w:cs="Calibri"/>
                <w:color w:val="000000"/>
                <w:sz w:val="14"/>
                <w:szCs w:val="14"/>
                <w:lang w:val="pl-PL"/>
              </w:rPr>
              <w:t xml:space="preserve"> 65%. </w:t>
            </w:r>
            <w:r w:rsidR="00840811" w:rsidRPr="00755383">
              <w:rPr>
                <w:rFonts w:ascii="Calibri" w:eastAsia="Georgia" w:hAnsi="Calibri" w:cs="Calibri"/>
                <w:color w:val="000000"/>
                <w:sz w:val="14"/>
                <w:szCs w:val="14"/>
                <w:lang w:val="pl-PL"/>
              </w:rPr>
              <w:t xml:space="preserve">Jeżeli powstały, </w:t>
            </w:r>
            <w:proofErr w:type="spellStart"/>
            <w:r w:rsidR="00840811" w:rsidRPr="00755383">
              <w:rPr>
                <w:rFonts w:ascii="Calibri" w:eastAsia="Georgia" w:hAnsi="Calibri" w:cs="Calibri"/>
                <w:color w:val="000000"/>
                <w:sz w:val="14"/>
                <w:szCs w:val="14"/>
                <w:lang w:val="pl-PL"/>
              </w:rPr>
              <w:t>Videojet</w:t>
            </w:r>
            <w:proofErr w:type="spellEnd"/>
            <w:r w:rsidR="00840811" w:rsidRPr="00755383">
              <w:rPr>
                <w:rFonts w:ascii="Calibri" w:eastAsia="Georgia" w:hAnsi="Calibri" w:cs="Calibri"/>
                <w:color w:val="000000"/>
                <w:sz w:val="14"/>
                <w:szCs w:val="14"/>
                <w:lang w:val="pl-PL"/>
              </w:rPr>
              <w:t xml:space="preserve"> może dochodzić naprawienia szkód w zakresie przewyższającym Opłatę za wcześniejsze rozwiązanie umowy na zasadach ogólnych. </w:t>
            </w:r>
            <w:r w:rsidRPr="00755383">
              <w:rPr>
                <w:rFonts w:ascii="Calibri" w:eastAsia="Georgia" w:hAnsi="Calibri" w:cs="Calibri"/>
                <w:color w:val="000000"/>
                <w:sz w:val="14"/>
                <w:szCs w:val="14"/>
                <w:lang w:val="pl-PL"/>
              </w:rPr>
              <w:t>Opłata za wcześniejsze rozwiązanie nie ma zastosowania w przypadku wcześniejszego rozwiązania Umowy o Świadczeniu Usług w okresie wznowienia.</w:t>
            </w:r>
          </w:p>
        </w:tc>
      </w:tr>
      <w:tr w:rsidR="006163B3" w:rsidRPr="00755383" w14:paraId="690B7537" w14:textId="77777777" w:rsidTr="006C27F7">
        <w:trPr>
          <w:trHeight w:val="578"/>
        </w:trPr>
        <w:tc>
          <w:tcPr>
            <w:tcW w:w="5245" w:type="dxa"/>
            <w:shd w:val="clear" w:color="auto" w:fill="auto"/>
            <w:noWrap/>
            <w:hideMark/>
          </w:tcPr>
          <w:p w14:paraId="1C31343B" w14:textId="497EF968" w:rsidR="005A0203" w:rsidRPr="00755383" w:rsidRDefault="005A0203" w:rsidP="000E5833">
            <w:pPr>
              <w:pStyle w:val="ListParagraph"/>
              <w:numPr>
                <w:ilvl w:val="0"/>
                <w:numId w:val="26"/>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Notwithstanding the foregoing and for the avoidance of doubt, if the Equipment is upgraded to new Videojet equipment with a corresponding Service Agreement then Videojet shall not charge an early termination fee to the Customer.</w:t>
            </w:r>
          </w:p>
        </w:tc>
        <w:tc>
          <w:tcPr>
            <w:tcW w:w="5812" w:type="dxa"/>
            <w:shd w:val="clear" w:color="auto" w:fill="auto"/>
            <w:noWrap/>
            <w:hideMark/>
          </w:tcPr>
          <w:p w14:paraId="26AD7FC5" w14:textId="3083D340" w:rsidR="005A020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Niezależnie od powyższego i dla </w:t>
            </w:r>
            <w:proofErr w:type="spellStart"/>
            <w:r w:rsidRPr="00755383">
              <w:rPr>
                <w:rFonts w:ascii="Calibri" w:eastAsia="Georgia" w:hAnsi="Calibri" w:cs="Calibri"/>
                <w:color w:val="000000"/>
                <w:sz w:val="14"/>
                <w:szCs w:val="14"/>
                <w:lang w:val="pl-PL"/>
              </w:rPr>
              <w:t>unikniȩcia</w:t>
            </w:r>
            <w:proofErr w:type="spellEnd"/>
            <w:r w:rsidRPr="00755383">
              <w:rPr>
                <w:rFonts w:ascii="Calibri" w:eastAsia="Georgia" w:hAnsi="Calibri" w:cs="Calibri"/>
                <w:color w:val="000000"/>
                <w:sz w:val="14"/>
                <w:szCs w:val="14"/>
                <w:lang w:val="pl-PL"/>
              </w:rPr>
              <w:t xml:space="preserve"> wątpliwości, jeśli </w:t>
            </w:r>
            <w:proofErr w:type="spellStart"/>
            <w:r w:rsidRPr="00755383">
              <w:rPr>
                <w:rFonts w:ascii="Calibri" w:eastAsia="Georgia" w:hAnsi="Calibri" w:cs="Calibri"/>
                <w:color w:val="000000"/>
                <w:sz w:val="14"/>
                <w:szCs w:val="14"/>
                <w:lang w:val="pl-PL"/>
              </w:rPr>
              <w:t>Sprzȩt</w:t>
            </w:r>
            <w:proofErr w:type="spellEnd"/>
            <w:r w:rsidRPr="00755383">
              <w:rPr>
                <w:rFonts w:ascii="Calibri" w:eastAsia="Georgia" w:hAnsi="Calibri" w:cs="Calibri"/>
                <w:color w:val="000000"/>
                <w:sz w:val="14"/>
                <w:szCs w:val="14"/>
                <w:lang w:val="pl-PL"/>
              </w:rPr>
              <w:t xml:space="preserve"> zostanie zmodernizowany do nowej wersji sprzętu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w:t>
            </w:r>
            <w:r w:rsidR="00C9499C" w:rsidRPr="00755383">
              <w:rPr>
                <w:rFonts w:ascii="Calibri" w:eastAsia="Georgia" w:hAnsi="Calibri" w:cs="Calibri"/>
                <w:color w:val="000000"/>
                <w:sz w:val="14"/>
                <w:szCs w:val="14"/>
                <w:lang w:val="pl-PL"/>
              </w:rPr>
              <w:t xml:space="preserve">w związku z </w:t>
            </w:r>
            <w:r w:rsidRPr="00755383">
              <w:rPr>
                <w:rFonts w:ascii="Calibri" w:eastAsia="Georgia" w:hAnsi="Calibri" w:cs="Calibri"/>
                <w:color w:val="000000"/>
                <w:sz w:val="14"/>
                <w:szCs w:val="14"/>
                <w:lang w:val="pl-PL"/>
              </w:rPr>
              <w:t xml:space="preserve">odpowiednią Umową o Świadczeniu Usług, to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nie będzie pobierać od Klienta opłaty za wcześniejsze rozwiązanie umowy.</w:t>
            </w:r>
          </w:p>
        </w:tc>
      </w:tr>
      <w:tr w:rsidR="006163B3" w:rsidRPr="00755383" w14:paraId="7888E404" w14:textId="77777777" w:rsidTr="006C27F7">
        <w:trPr>
          <w:trHeight w:val="570"/>
        </w:trPr>
        <w:tc>
          <w:tcPr>
            <w:tcW w:w="5245" w:type="dxa"/>
            <w:shd w:val="clear" w:color="auto" w:fill="auto"/>
            <w:noWrap/>
            <w:hideMark/>
          </w:tcPr>
          <w:p w14:paraId="3DEC63F2" w14:textId="4669F6DF" w:rsidR="005A0203" w:rsidRPr="00755383" w:rsidRDefault="005A0203" w:rsidP="000E5833">
            <w:pPr>
              <w:pStyle w:val="ListParagraph"/>
              <w:numPr>
                <w:ilvl w:val="0"/>
                <w:numId w:val="26"/>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Clauses 5, 6, 7, 8. 11 and 12 shall survive termination of the Service Agreement.</w:t>
            </w:r>
          </w:p>
          <w:p w14:paraId="6A30A219" w14:textId="77777777" w:rsidR="007055F0" w:rsidRPr="00755383" w:rsidRDefault="007055F0" w:rsidP="007055F0">
            <w:pPr>
              <w:pStyle w:val="ListParagraph"/>
              <w:spacing w:after="0" w:line="240" w:lineRule="auto"/>
              <w:ind w:left="592"/>
              <w:jc w:val="both"/>
              <w:rPr>
                <w:rFonts w:ascii="Calibri" w:eastAsia="Georgia" w:hAnsi="Calibri" w:cs="Calibri"/>
                <w:color w:val="000000"/>
                <w:sz w:val="14"/>
                <w:szCs w:val="14"/>
              </w:rPr>
            </w:pPr>
          </w:p>
          <w:p w14:paraId="779CB836" w14:textId="651DA914" w:rsidR="000E5833" w:rsidRPr="00755383" w:rsidRDefault="000E5833" w:rsidP="000E5833">
            <w:pPr>
              <w:pStyle w:val="ListParagraph"/>
              <w:spacing w:after="0" w:line="240" w:lineRule="auto"/>
              <w:ind w:left="592"/>
              <w:jc w:val="both"/>
              <w:rPr>
                <w:rFonts w:ascii="Calibri" w:eastAsia="Georgia" w:hAnsi="Calibri" w:cs="Calibri"/>
                <w:color w:val="000000"/>
                <w:sz w:val="14"/>
                <w:szCs w:val="14"/>
              </w:rPr>
            </w:pPr>
          </w:p>
        </w:tc>
        <w:tc>
          <w:tcPr>
            <w:tcW w:w="5812" w:type="dxa"/>
            <w:shd w:val="clear" w:color="auto" w:fill="auto"/>
            <w:noWrap/>
            <w:hideMark/>
          </w:tcPr>
          <w:p w14:paraId="193193EC" w14:textId="77777777" w:rsidR="005A0203" w:rsidRPr="00755383" w:rsidRDefault="005A0203" w:rsidP="000E5833">
            <w:pPr>
              <w:pStyle w:val="ListParagraph"/>
              <w:numPr>
                <w:ilvl w:val="0"/>
                <w:numId w:val="27"/>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Ust. 5, 6, 7, 8. 11 i 12 zachowują ważność po rozwiązaniu nin</w:t>
            </w:r>
            <w:r w:rsidR="00336BB8" w:rsidRPr="00755383">
              <w:rPr>
                <w:rFonts w:ascii="Calibri" w:eastAsia="Georgia" w:hAnsi="Calibri" w:cs="Calibri"/>
                <w:color w:val="000000"/>
                <w:sz w:val="14"/>
                <w:szCs w:val="14"/>
                <w:lang w:val="pl-PL"/>
              </w:rPr>
              <w:t>i</w:t>
            </w:r>
            <w:r w:rsidRPr="00755383">
              <w:rPr>
                <w:rFonts w:ascii="Calibri" w:eastAsia="Georgia" w:hAnsi="Calibri" w:cs="Calibri"/>
                <w:color w:val="000000"/>
                <w:sz w:val="14"/>
                <w:szCs w:val="14"/>
                <w:lang w:val="pl-PL"/>
              </w:rPr>
              <w:t>ejszej Umowy o Świadczeniu Usług.</w:t>
            </w:r>
          </w:p>
          <w:p w14:paraId="5253EBC6" w14:textId="548BFB39" w:rsidR="000E5833" w:rsidRPr="00755383" w:rsidRDefault="000E5833" w:rsidP="000E5833">
            <w:pPr>
              <w:pStyle w:val="ListParagraph"/>
              <w:spacing w:after="0" w:line="240" w:lineRule="auto"/>
              <w:ind w:left="463"/>
              <w:jc w:val="both"/>
              <w:rPr>
                <w:rFonts w:ascii="Calibri" w:eastAsia="Georgia" w:hAnsi="Calibri" w:cs="Calibri"/>
                <w:color w:val="000000"/>
                <w:sz w:val="14"/>
                <w:szCs w:val="14"/>
                <w:lang w:val="pl-PL"/>
              </w:rPr>
            </w:pPr>
          </w:p>
        </w:tc>
      </w:tr>
      <w:tr w:rsidR="006163B3" w:rsidRPr="00755383" w14:paraId="4CF7796B" w14:textId="77777777" w:rsidTr="006C27F7">
        <w:trPr>
          <w:trHeight w:val="119"/>
        </w:trPr>
        <w:tc>
          <w:tcPr>
            <w:tcW w:w="5245" w:type="dxa"/>
            <w:shd w:val="clear" w:color="auto" w:fill="auto"/>
            <w:noWrap/>
            <w:hideMark/>
          </w:tcPr>
          <w:p w14:paraId="36A06C88"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9.                 Force Majeure</w:t>
            </w:r>
          </w:p>
        </w:tc>
        <w:tc>
          <w:tcPr>
            <w:tcW w:w="5812" w:type="dxa"/>
            <w:shd w:val="clear" w:color="auto" w:fill="auto"/>
            <w:noWrap/>
            <w:hideMark/>
          </w:tcPr>
          <w:p w14:paraId="437079A5"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9.                 Siła Wyższa </w:t>
            </w:r>
          </w:p>
        </w:tc>
      </w:tr>
      <w:tr w:rsidR="006163B3" w:rsidRPr="00755383" w14:paraId="329AEDF1" w14:textId="77777777" w:rsidTr="006C27F7">
        <w:trPr>
          <w:trHeight w:val="986"/>
        </w:trPr>
        <w:tc>
          <w:tcPr>
            <w:tcW w:w="5245" w:type="dxa"/>
            <w:shd w:val="clear" w:color="auto" w:fill="auto"/>
            <w:noWrap/>
            <w:hideMark/>
          </w:tcPr>
          <w:p w14:paraId="4F8EDEAB" w14:textId="5B1ED7F3" w:rsidR="005A020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Except for the Customer's payment obligations, neither party shall be liable for delays in performance or non-performance, in whole or in part, resulting from causes beyond its reasonable control, such as acts of God fire, failure of utility service, accident, strikes, embargo, acts of the government, or other similar causes ("</w:t>
            </w:r>
            <w:r w:rsidRPr="00755383">
              <w:rPr>
                <w:rFonts w:ascii="Calibri" w:eastAsia="Times New Roman" w:hAnsi="Calibri" w:cs="Calibri"/>
                <w:b/>
                <w:bCs/>
                <w:color w:val="000000"/>
                <w:sz w:val="14"/>
                <w:szCs w:val="14"/>
              </w:rPr>
              <w:t>Force Majeure</w:t>
            </w:r>
            <w:r w:rsidRPr="00755383">
              <w:rPr>
                <w:rFonts w:ascii="Calibri" w:eastAsia="Times New Roman" w:hAnsi="Calibri" w:cs="Calibri"/>
                <w:color w:val="000000"/>
                <w:sz w:val="14"/>
                <w:szCs w:val="14"/>
              </w:rPr>
              <w:t>"). In such event, the party delayed shall promptly give notice to the other party. The party affected by the delay may: (</w:t>
            </w:r>
            <w:proofErr w:type="spellStart"/>
            <w:r w:rsidR="00336BB8" w:rsidRPr="00755383">
              <w:rPr>
                <w:rFonts w:ascii="Calibri" w:eastAsia="Times New Roman" w:hAnsi="Calibri" w:cs="Calibri"/>
                <w:color w:val="000000"/>
                <w:sz w:val="14"/>
                <w:szCs w:val="14"/>
              </w:rPr>
              <w:t>i</w:t>
            </w:r>
            <w:proofErr w:type="spellEnd"/>
            <w:r w:rsidRPr="00755383">
              <w:rPr>
                <w:rFonts w:ascii="Calibri" w:eastAsia="Times New Roman" w:hAnsi="Calibri" w:cs="Calibri"/>
                <w:color w:val="000000"/>
                <w:sz w:val="14"/>
                <w:szCs w:val="14"/>
              </w:rPr>
              <w:t xml:space="preserve">) extend the time for performance for the duration of the event; or (ii) cancel all or any part of the unperformed part of the Service Agreement and/or any purchase order if such event lasts longer than </w:t>
            </w:r>
            <w:r w:rsidR="0039600B">
              <w:rPr>
                <w:rFonts w:ascii="Calibri" w:eastAsia="Times New Roman" w:hAnsi="Calibri" w:cs="Calibri"/>
                <w:color w:val="000000"/>
                <w:sz w:val="14"/>
                <w:szCs w:val="14"/>
              </w:rPr>
              <w:t>sixty (</w:t>
            </w:r>
            <w:r w:rsidRPr="00755383">
              <w:rPr>
                <w:rFonts w:ascii="Calibri" w:eastAsia="Times New Roman" w:hAnsi="Calibri" w:cs="Calibri"/>
                <w:color w:val="000000"/>
                <w:sz w:val="14"/>
                <w:szCs w:val="14"/>
              </w:rPr>
              <w:t>60</w:t>
            </w:r>
            <w:r w:rsidR="0039600B">
              <w:rPr>
                <w:rFonts w:ascii="Calibri" w:eastAsia="Times New Roman" w:hAnsi="Calibri" w:cs="Calibri"/>
                <w:color w:val="000000"/>
                <w:sz w:val="14"/>
                <w:szCs w:val="14"/>
              </w:rPr>
              <w:t>)</w:t>
            </w:r>
            <w:r w:rsidRPr="00755383">
              <w:rPr>
                <w:rFonts w:ascii="Calibri" w:eastAsia="Times New Roman" w:hAnsi="Calibri" w:cs="Calibri"/>
                <w:color w:val="000000"/>
                <w:sz w:val="14"/>
                <w:szCs w:val="14"/>
              </w:rPr>
              <w:t xml:space="preserve"> days.  If a Force Majeure event affects Videojet's ability to meets its obligations at the agreed upon pricing, or Videojet's costs are otherwise increased as a result of such an event, Videojet may increase pricing accordingly upon written notice to the Customer.</w:t>
            </w:r>
          </w:p>
          <w:p w14:paraId="4CF9ECD7" w14:textId="36D975F4" w:rsidR="00F87E1B" w:rsidRPr="00755383" w:rsidRDefault="00F87E1B" w:rsidP="00336BB8">
            <w:pPr>
              <w:spacing w:after="0" w:line="240" w:lineRule="auto"/>
              <w:jc w:val="both"/>
              <w:rPr>
                <w:rFonts w:ascii="Calibri" w:eastAsia="Times New Roman" w:hAnsi="Calibri" w:cs="Calibri"/>
                <w:color w:val="000000"/>
                <w:sz w:val="14"/>
                <w:szCs w:val="14"/>
              </w:rPr>
            </w:pPr>
          </w:p>
        </w:tc>
        <w:tc>
          <w:tcPr>
            <w:tcW w:w="5812" w:type="dxa"/>
            <w:shd w:val="clear" w:color="auto" w:fill="auto"/>
            <w:noWrap/>
            <w:hideMark/>
          </w:tcPr>
          <w:p w14:paraId="573050EA" w14:textId="7B17C646" w:rsidR="005A0203" w:rsidRDefault="005A0203" w:rsidP="00336BB8">
            <w:pPr>
              <w:spacing w:after="0" w:line="240" w:lineRule="auto"/>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 xml:space="preserve">Z wyjątkiem zobowiązań płatniczych Klienta, żadna ze stron nie ponosi odpowiedzialności za opóźnienia w wykonywaniu lub za niewykonanie, w całości lub w </w:t>
            </w:r>
            <w:proofErr w:type="spellStart"/>
            <w:r w:rsidRPr="00755383">
              <w:rPr>
                <w:rFonts w:ascii="Calibri" w:eastAsia="Times New Roman" w:hAnsi="Calibri" w:cs="Calibri"/>
                <w:color w:val="000000"/>
                <w:sz w:val="14"/>
                <w:szCs w:val="14"/>
                <w:lang w:val="pl-PL"/>
              </w:rPr>
              <w:t>czȩści</w:t>
            </w:r>
            <w:proofErr w:type="spellEnd"/>
            <w:r w:rsidRPr="00755383">
              <w:rPr>
                <w:rFonts w:ascii="Calibri" w:eastAsia="Times New Roman" w:hAnsi="Calibri" w:cs="Calibri"/>
                <w:color w:val="000000"/>
                <w:sz w:val="14"/>
                <w:szCs w:val="14"/>
                <w:lang w:val="pl-PL"/>
              </w:rPr>
              <w:t>, wynikające z przyczyn od niej niezależnych, takich jak siła wyższa, pożar, awaria mediów, wypadek, strajk, embargo, działania rządu, lub inne podobne przyczyny („</w:t>
            </w:r>
            <w:r w:rsidRPr="00755383">
              <w:rPr>
                <w:rFonts w:ascii="Calibri" w:eastAsia="Times New Roman" w:hAnsi="Calibri" w:cs="Calibri"/>
                <w:b/>
                <w:bCs/>
                <w:color w:val="000000"/>
                <w:sz w:val="14"/>
                <w:szCs w:val="14"/>
                <w:lang w:val="pl-PL"/>
              </w:rPr>
              <w:t>Siła Wyższa</w:t>
            </w:r>
            <w:r w:rsidRPr="00755383">
              <w:rPr>
                <w:rFonts w:ascii="Calibri" w:eastAsia="Times New Roman" w:hAnsi="Calibri" w:cs="Calibri"/>
                <w:color w:val="000000"/>
                <w:sz w:val="14"/>
                <w:szCs w:val="14"/>
                <w:lang w:val="pl-PL"/>
              </w:rPr>
              <w:t xml:space="preserve">”). W takim przypadku strona opóźniona niezwłocznie zawiadomi drugą stronę. Strona, której dotyczy opóźnienie może: (i) przedłużyć termin wykonania na okres trwania zdarzenia; lub (ii) anulować całość lub jakąkolwiek </w:t>
            </w:r>
            <w:proofErr w:type="spellStart"/>
            <w:r w:rsidRPr="00755383">
              <w:rPr>
                <w:rFonts w:ascii="Calibri" w:eastAsia="Times New Roman" w:hAnsi="Calibri" w:cs="Calibri"/>
                <w:color w:val="000000"/>
                <w:sz w:val="14"/>
                <w:szCs w:val="14"/>
                <w:lang w:val="pl-PL"/>
              </w:rPr>
              <w:t>czȩść</w:t>
            </w:r>
            <w:proofErr w:type="spellEnd"/>
            <w:r w:rsidRPr="00755383">
              <w:rPr>
                <w:rFonts w:ascii="Calibri" w:eastAsia="Times New Roman" w:hAnsi="Calibri" w:cs="Calibri"/>
                <w:color w:val="000000"/>
                <w:sz w:val="14"/>
                <w:szCs w:val="14"/>
                <w:lang w:val="pl-PL"/>
              </w:rPr>
              <w:t xml:space="preserve"> niewykonanej </w:t>
            </w:r>
            <w:proofErr w:type="spellStart"/>
            <w:r w:rsidRPr="00755383">
              <w:rPr>
                <w:rFonts w:ascii="Calibri" w:eastAsia="Times New Roman" w:hAnsi="Calibri" w:cs="Calibri"/>
                <w:color w:val="000000"/>
                <w:sz w:val="14"/>
                <w:szCs w:val="14"/>
                <w:lang w:val="pl-PL"/>
              </w:rPr>
              <w:t>czȩści</w:t>
            </w:r>
            <w:proofErr w:type="spellEnd"/>
            <w:r w:rsidRPr="00755383">
              <w:rPr>
                <w:rFonts w:ascii="Calibri" w:eastAsia="Times New Roman" w:hAnsi="Calibri" w:cs="Calibri"/>
                <w:color w:val="000000"/>
                <w:sz w:val="14"/>
                <w:szCs w:val="14"/>
                <w:lang w:val="pl-PL"/>
              </w:rPr>
              <w:t xml:space="preserve"> Umowy o Świadczeniu Usług i/lub dowolnego zamówienia zakupu, jeśli zdarzenie potrwa dłużej niż </w:t>
            </w:r>
            <w:r w:rsidR="0039600B" w:rsidRPr="0039600B">
              <w:rPr>
                <w:rFonts w:ascii="Calibri" w:eastAsia="Times New Roman" w:hAnsi="Calibri" w:cs="Calibri"/>
                <w:color w:val="000000"/>
                <w:sz w:val="14"/>
                <w:szCs w:val="14"/>
                <w:lang w:val="pl-PL"/>
              </w:rPr>
              <w:t>sześćdziesiąt</w:t>
            </w:r>
            <w:r w:rsidR="0039600B">
              <w:rPr>
                <w:rFonts w:ascii="Calibri" w:eastAsia="Times New Roman" w:hAnsi="Calibri" w:cs="Calibri"/>
                <w:color w:val="000000"/>
                <w:sz w:val="14"/>
                <w:szCs w:val="14"/>
                <w:lang w:val="pl-PL"/>
              </w:rPr>
              <w:t xml:space="preserve"> (</w:t>
            </w:r>
            <w:r w:rsidRPr="00755383">
              <w:rPr>
                <w:rFonts w:ascii="Calibri" w:eastAsia="Times New Roman" w:hAnsi="Calibri" w:cs="Calibri"/>
                <w:color w:val="000000"/>
                <w:sz w:val="14"/>
                <w:szCs w:val="14"/>
                <w:lang w:val="pl-PL"/>
              </w:rPr>
              <w:t>60</w:t>
            </w:r>
            <w:r w:rsidR="0039600B">
              <w:rPr>
                <w:rFonts w:ascii="Calibri" w:eastAsia="Times New Roman" w:hAnsi="Calibri" w:cs="Calibri"/>
                <w:color w:val="000000"/>
                <w:sz w:val="14"/>
                <w:szCs w:val="14"/>
                <w:lang w:val="pl-PL"/>
              </w:rPr>
              <w:t>)</w:t>
            </w:r>
            <w:r w:rsidRPr="00755383">
              <w:rPr>
                <w:rFonts w:ascii="Calibri" w:eastAsia="Times New Roman" w:hAnsi="Calibri" w:cs="Calibri"/>
                <w:color w:val="000000"/>
                <w:sz w:val="14"/>
                <w:szCs w:val="14"/>
                <w:lang w:val="pl-PL"/>
              </w:rPr>
              <w:t xml:space="preserve"> dni.  Jeśli zdarzenie Siły Wyższej wpływa na zdolność </w:t>
            </w:r>
            <w:proofErr w:type="spellStart"/>
            <w:r w:rsidRPr="00755383">
              <w:rPr>
                <w:rFonts w:ascii="Calibri" w:eastAsia="Times New Roman" w:hAnsi="Calibri" w:cs="Calibri"/>
                <w:color w:val="000000"/>
                <w:sz w:val="14"/>
                <w:szCs w:val="14"/>
                <w:lang w:val="pl-PL"/>
              </w:rPr>
              <w:t>Videojet</w:t>
            </w:r>
            <w:proofErr w:type="spellEnd"/>
            <w:r w:rsidRPr="00755383">
              <w:rPr>
                <w:rFonts w:ascii="Calibri" w:eastAsia="Times New Roman" w:hAnsi="Calibri" w:cs="Calibri"/>
                <w:color w:val="000000"/>
                <w:sz w:val="14"/>
                <w:szCs w:val="14"/>
                <w:lang w:val="pl-PL"/>
              </w:rPr>
              <w:t xml:space="preserve"> do wywiązania się ze swoich zobowiązań po uzgodnionej cenie lub w inny sposób koszty </w:t>
            </w:r>
            <w:proofErr w:type="spellStart"/>
            <w:r w:rsidRPr="00755383">
              <w:rPr>
                <w:rFonts w:ascii="Calibri" w:eastAsia="Times New Roman" w:hAnsi="Calibri" w:cs="Calibri"/>
                <w:color w:val="000000"/>
                <w:sz w:val="14"/>
                <w:szCs w:val="14"/>
                <w:lang w:val="pl-PL"/>
              </w:rPr>
              <w:t>Videojet</w:t>
            </w:r>
            <w:proofErr w:type="spellEnd"/>
            <w:r w:rsidRPr="00755383">
              <w:rPr>
                <w:rFonts w:ascii="Calibri" w:eastAsia="Times New Roman" w:hAnsi="Calibri" w:cs="Calibri"/>
                <w:color w:val="000000"/>
                <w:sz w:val="14"/>
                <w:szCs w:val="14"/>
                <w:lang w:val="pl-PL"/>
              </w:rPr>
              <w:t xml:space="preserve"> wzrosną w wyniku takiego zdarzenia, </w:t>
            </w:r>
            <w:proofErr w:type="spellStart"/>
            <w:r w:rsidRPr="00755383">
              <w:rPr>
                <w:rFonts w:ascii="Calibri" w:eastAsia="Times New Roman" w:hAnsi="Calibri" w:cs="Calibri"/>
                <w:color w:val="000000"/>
                <w:sz w:val="14"/>
                <w:szCs w:val="14"/>
                <w:lang w:val="pl-PL"/>
              </w:rPr>
              <w:t>Videojet</w:t>
            </w:r>
            <w:proofErr w:type="spellEnd"/>
            <w:r w:rsidRPr="00755383">
              <w:rPr>
                <w:rFonts w:ascii="Calibri" w:eastAsia="Times New Roman" w:hAnsi="Calibri" w:cs="Calibri"/>
                <w:color w:val="000000"/>
                <w:sz w:val="14"/>
                <w:szCs w:val="14"/>
                <w:lang w:val="pl-PL"/>
              </w:rPr>
              <w:t xml:space="preserve"> może odpowiednio podwyższyć ceny za pisemnym zawiadomieniem Klienta.</w:t>
            </w:r>
          </w:p>
          <w:p w14:paraId="56C37A67" w14:textId="77777777" w:rsidR="006C27F7" w:rsidRDefault="006C27F7" w:rsidP="00336BB8">
            <w:pPr>
              <w:spacing w:after="0" w:line="240" w:lineRule="auto"/>
              <w:jc w:val="both"/>
              <w:rPr>
                <w:rFonts w:ascii="Calibri" w:eastAsia="Times New Roman" w:hAnsi="Calibri" w:cs="Calibri"/>
                <w:color w:val="000000"/>
                <w:sz w:val="14"/>
                <w:szCs w:val="14"/>
                <w:lang w:val="pl-PL"/>
              </w:rPr>
            </w:pPr>
          </w:p>
          <w:p w14:paraId="2AFFCE52" w14:textId="26604B2A" w:rsidR="00F13F55" w:rsidRPr="00755383" w:rsidRDefault="00F13F55" w:rsidP="00336BB8">
            <w:pPr>
              <w:spacing w:after="0" w:line="240" w:lineRule="auto"/>
              <w:jc w:val="both"/>
              <w:rPr>
                <w:rFonts w:ascii="Calibri" w:eastAsia="Times New Roman" w:hAnsi="Calibri" w:cs="Calibri"/>
                <w:color w:val="000000"/>
                <w:sz w:val="14"/>
                <w:szCs w:val="14"/>
                <w:lang w:val="pl-PL"/>
              </w:rPr>
            </w:pPr>
          </w:p>
        </w:tc>
      </w:tr>
      <w:tr w:rsidR="006163B3" w:rsidRPr="00755383" w14:paraId="2F6C0430" w14:textId="77777777" w:rsidTr="006C27F7">
        <w:trPr>
          <w:trHeight w:val="86"/>
        </w:trPr>
        <w:tc>
          <w:tcPr>
            <w:tcW w:w="5245" w:type="dxa"/>
            <w:shd w:val="clear" w:color="auto" w:fill="auto"/>
            <w:noWrap/>
            <w:hideMark/>
          </w:tcPr>
          <w:p w14:paraId="7CA6FB55"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10.             Assignment: Successors and Assigns</w:t>
            </w:r>
          </w:p>
        </w:tc>
        <w:tc>
          <w:tcPr>
            <w:tcW w:w="5812" w:type="dxa"/>
            <w:shd w:val="clear" w:color="auto" w:fill="auto"/>
            <w:noWrap/>
            <w:hideMark/>
          </w:tcPr>
          <w:p w14:paraId="2D04E258"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10.             Cesja: następcy i cesjonariusze </w:t>
            </w:r>
          </w:p>
        </w:tc>
      </w:tr>
      <w:tr w:rsidR="006163B3" w:rsidRPr="00755383" w14:paraId="07147114" w14:textId="77777777" w:rsidTr="006C27F7">
        <w:trPr>
          <w:trHeight w:val="892"/>
        </w:trPr>
        <w:tc>
          <w:tcPr>
            <w:tcW w:w="5245" w:type="dxa"/>
            <w:shd w:val="clear" w:color="auto" w:fill="auto"/>
            <w:noWrap/>
            <w:hideMark/>
          </w:tcPr>
          <w:p w14:paraId="5DE98472" w14:textId="77777777" w:rsidR="005A0203" w:rsidRPr="00755383" w:rsidRDefault="005A0203" w:rsidP="00336BB8">
            <w:pPr>
              <w:spacing w:after="0" w:line="240" w:lineRule="auto"/>
              <w:jc w:val="both"/>
              <w:rPr>
                <w:rFonts w:ascii="Calibri" w:eastAsia="Times New Roman" w:hAnsi="Calibri" w:cs="Calibri"/>
                <w:color w:val="000000"/>
                <w:sz w:val="14"/>
                <w:szCs w:val="14"/>
              </w:rPr>
            </w:pPr>
            <w:r w:rsidRPr="00755383">
              <w:rPr>
                <w:rFonts w:ascii="Calibri" w:eastAsia="Times New Roman" w:hAnsi="Calibri" w:cs="Calibri"/>
                <w:color w:val="000000"/>
                <w:sz w:val="14"/>
                <w:szCs w:val="14"/>
              </w:rPr>
              <w:t>The Customer may not assign the Service Agreement without Videojet’s prior written consent. Any assignment contrary to this clause 10 shall be null and void. The Service Agreement shall apply to and to the benefit of and be binding upon the parties hereto and their respective successors and permitted assigns.</w:t>
            </w:r>
          </w:p>
        </w:tc>
        <w:tc>
          <w:tcPr>
            <w:tcW w:w="5812" w:type="dxa"/>
            <w:shd w:val="clear" w:color="auto" w:fill="auto"/>
            <w:noWrap/>
            <w:hideMark/>
          </w:tcPr>
          <w:p w14:paraId="628AEF8A" w14:textId="1843A312" w:rsidR="005A0203" w:rsidRPr="00755383" w:rsidRDefault="005A0203" w:rsidP="00336BB8">
            <w:pPr>
              <w:spacing w:after="0" w:line="240" w:lineRule="auto"/>
              <w:jc w:val="both"/>
              <w:rPr>
                <w:rFonts w:ascii="Calibri" w:eastAsia="Times New Roman" w:hAnsi="Calibri" w:cs="Calibri"/>
                <w:color w:val="000000"/>
                <w:sz w:val="14"/>
                <w:szCs w:val="14"/>
                <w:lang w:val="pl-PL"/>
              </w:rPr>
            </w:pPr>
            <w:r w:rsidRPr="00755383">
              <w:rPr>
                <w:rFonts w:ascii="Calibri" w:eastAsia="Times New Roman" w:hAnsi="Calibri" w:cs="Calibri"/>
                <w:color w:val="000000"/>
                <w:sz w:val="14"/>
                <w:szCs w:val="14"/>
                <w:lang w:val="pl-PL"/>
              </w:rPr>
              <w:t xml:space="preserve">Klient nie może dokonać cesji Umowy o Świadczeniu Usług bez uprzedniej pisemnej zgody </w:t>
            </w:r>
            <w:proofErr w:type="spellStart"/>
            <w:r w:rsidRPr="00755383">
              <w:rPr>
                <w:rFonts w:ascii="Calibri" w:eastAsia="Times New Roman" w:hAnsi="Calibri" w:cs="Calibri"/>
                <w:color w:val="000000"/>
                <w:sz w:val="14"/>
                <w:szCs w:val="14"/>
                <w:lang w:val="pl-PL"/>
              </w:rPr>
              <w:t>Videojet</w:t>
            </w:r>
            <w:proofErr w:type="spellEnd"/>
            <w:r w:rsidRPr="00755383">
              <w:rPr>
                <w:rFonts w:ascii="Calibri" w:eastAsia="Times New Roman" w:hAnsi="Calibri" w:cs="Calibri"/>
                <w:color w:val="000000"/>
                <w:sz w:val="14"/>
                <w:szCs w:val="14"/>
                <w:lang w:val="pl-PL"/>
              </w:rPr>
              <w:t xml:space="preserve">. Wszelkie cesje sprzeczne z niniejszym ust. 10 będą nieważne. Umowa o Świadczeniu Usług ma zastosowanie do i na korzyść stron niniejszej Umowy oraz ich </w:t>
            </w:r>
            <w:r w:rsidR="003001E2" w:rsidRPr="00755383">
              <w:rPr>
                <w:rFonts w:ascii="Calibri" w:eastAsia="Times New Roman" w:hAnsi="Calibri" w:cs="Calibri"/>
                <w:color w:val="000000"/>
                <w:sz w:val="14"/>
                <w:szCs w:val="14"/>
                <w:lang w:val="pl-PL"/>
              </w:rPr>
              <w:t>następców</w:t>
            </w:r>
            <w:r w:rsidRPr="00755383">
              <w:rPr>
                <w:rFonts w:ascii="Calibri" w:eastAsia="Times New Roman" w:hAnsi="Calibri" w:cs="Calibri"/>
                <w:color w:val="000000"/>
                <w:sz w:val="14"/>
                <w:szCs w:val="14"/>
                <w:lang w:val="pl-PL"/>
              </w:rPr>
              <w:t xml:space="preserve"> i dozwolonych cesjonariuszy i jest dla nich wiążąca. </w:t>
            </w:r>
          </w:p>
        </w:tc>
      </w:tr>
      <w:tr w:rsidR="006163B3" w:rsidRPr="00755383" w14:paraId="54D0F647" w14:textId="77777777" w:rsidTr="006C27F7">
        <w:trPr>
          <w:trHeight w:val="152"/>
        </w:trPr>
        <w:tc>
          <w:tcPr>
            <w:tcW w:w="5245" w:type="dxa"/>
            <w:shd w:val="clear" w:color="auto" w:fill="auto"/>
            <w:noWrap/>
            <w:hideMark/>
          </w:tcPr>
          <w:p w14:paraId="3642CDFB"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11.               Governing Law, Venue, Actions</w:t>
            </w:r>
          </w:p>
        </w:tc>
        <w:tc>
          <w:tcPr>
            <w:tcW w:w="5812" w:type="dxa"/>
            <w:shd w:val="clear" w:color="auto" w:fill="auto"/>
            <w:noWrap/>
            <w:hideMark/>
          </w:tcPr>
          <w:p w14:paraId="3BE4D520"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 xml:space="preserve">11.               Prawo właściwe, właściwość, </w:t>
            </w:r>
            <w:proofErr w:type="spellStart"/>
            <w:r w:rsidRPr="00755383">
              <w:rPr>
                <w:rFonts w:ascii="Calibri" w:eastAsia="Georgia" w:hAnsi="Calibri" w:cs="Calibri"/>
                <w:b/>
                <w:bCs/>
                <w:color w:val="000000"/>
                <w:sz w:val="14"/>
                <w:szCs w:val="14"/>
                <w:lang w:val="pl-PL"/>
              </w:rPr>
              <w:t>postȩpowanie</w:t>
            </w:r>
            <w:proofErr w:type="spellEnd"/>
            <w:r w:rsidRPr="00755383">
              <w:rPr>
                <w:rFonts w:ascii="Calibri" w:eastAsia="Georgia" w:hAnsi="Calibri" w:cs="Calibri"/>
                <w:b/>
                <w:bCs/>
                <w:color w:val="000000"/>
                <w:sz w:val="14"/>
                <w:szCs w:val="14"/>
                <w:lang w:val="pl-PL"/>
              </w:rPr>
              <w:t xml:space="preserve"> </w:t>
            </w:r>
          </w:p>
        </w:tc>
      </w:tr>
      <w:tr w:rsidR="006163B3" w:rsidRPr="00755383" w14:paraId="6B00A833" w14:textId="77777777" w:rsidTr="006C27F7">
        <w:trPr>
          <w:trHeight w:val="538"/>
        </w:trPr>
        <w:tc>
          <w:tcPr>
            <w:tcW w:w="5245" w:type="dxa"/>
            <w:shd w:val="clear" w:color="auto" w:fill="auto"/>
            <w:noWrap/>
            <w:hideMark/>
          </w:tcPr>
          <w:p w14:paraId="6F84F0D6" w14:textId="34AD8F4D" w:rsidR="005A0203" w:rsidRPr="00755383" w:rsidRDefault="005A0203" w:rsidP="003D53E3">
            <w:pPr>
              <w:spacing w:after="0" w:line="240" w:lineRule="auto"/>
              <w:ind w:left="592" w:hanging="592"/>
              <w:jc w:val="both"/>
              <w:rPr>
                <w:rFonts w:ascii="Calibri" w:eastAsia="Times New Roman" w:hAnsi="Calibri" w:cs="Calibri"/>
                <w:color w:val="000000"/>
                <w:sz w:val="14"/>
                <w:szCs w:val="14"/>
              </w:rPr>
            </w:pPr>
            <w:r w:rsidRPr="00755383">
              <w:rPr>
                <w:rFonts w:ascii="Calibri" w:eastAsia="Georgia" w:hAnsi="Calibri" w:cs="Calibri"/>
                <w:color w:val="000000"/>
                <w:sz w:val="14"/>
                <w:szCs w:val="14"/>
              </w:rPr>
              <w:t xml:space="preserve">(a)         </w:t>
            </w:r>
            <w:r w:rsidR="00F13F55">
              <w:rPr>
                <w:rFonts w:ascii="Calibri" w:eastAsia="Georgia" w:hAnsi="Calibri" w:cs="Calibri"/>
                <w:color w:val="000000"/>
                <w:sz w:val="14"/>
                <w:szCs w:val="14"/>
              </w:rPr>
              <w:t xml:space="preserve">    </w:t>
            </w:r>
            <w:r w:rsidRPr="00755383">
              <w:rPr>
                <w:rFonts w:ascii="Calibri" w:eastAsia="Georgia" w:hAnsi="Calibri" w:cs="Calibri"/>
                <w:color w:val="000000"/>
                <w:sz w:val="14"/>
                <w:szCs w:val="14"/>
              </w:rPr>
              <w:t xml:space="preserve">The Service Agreement, and any dispute or claim arising out of or in connection with it or its subject matter or formation (including non-contractual disputes or claims), shall be governed by and construed in accordance with the law of </w:t>
            </w:r>
            <w:r w:rsidR="003001E2" w:rsidRPr="00755383">
              <w:rPr>
                <w:rFonts w:ascii="Calibri" w:eastAsia="Georgia" w:hAnsi="Calibri" w:cs="Calibri"/>
                <w:color w:val="000000"/>
                <w:sz w:val="14"/>
                <w:szCs w:val="14"/>
              </w:rPr>
              <w:t>Poland</w:t>
            </w:r>
            <w:r w:rsidRPr="00755383">
              <w:rPr>
                <w:rFonts w:ascii="Calibri" w:eastAsia="Georgia" w:hAnsi="Calibri" w:cs="Calibri"/>
                <w:color w:val="000000"/>
                <w:sz w:val="14"/>
                <w:szCs w:val="14"/>
              </w:rPr>
              <w:t>.</w:t>
            </w:r>
          </w:p>
        </w:tc>
        <w:tc>
          <w:tcPr>
            <w:tcW w:w="5812" w:type="dxa"/>
            <w:shd w:val="clear" w:color="auto" w:fill="auto"/>
            <w:noWrap/>
            <w:hideMark/>
          </w:tcPr>
          <w:p w14:paraId="5A1822EC" w14:textId="7B7F45A5" w:rsidR="005A0203" w:rsidRPr="00755383" w:rsidRDefault="005A0203" w:rsidP="003D53E3">
            <w:pPr>
              <w:spacing w:after="0" w:line="240" w:lineRule="auto"/>
              <w:ind w:left="463" w:hanging="463"/>
              <w:jc w:val="both"/>
              <w:rPr>
                <w:rFonts w:ascii="Calibri" w:eastAsia="Times New Roman" w:hAnsi="Calibri" w:cs="Calibri"/>
                <w:color w:val="000000"/>
                <w:sz w:val="14"/>
                <w:szCs w:val="14"/>
                <w:lang w:val="pl-PL"/>
              </w:rPr>
            </w:pPr>
            <w:r w:rsidRPr="00755383">
              <w:rPr>
                <w:rFonts w:ascii="Calibri" w:eastAsia="Georgia" w:hAnsi="Calibri" w:cs="Calibri"/>
                <w:color w:val="000000"/>
                <w:sz w:val="14"/>
                <w:szCs w:val="14"/>
                <w:lang w:val="pl-PL"/>
              </w:rPr>
              <w:t>(a)     </w:t>
            </w:r>
            <w:r w:rsidR="00B67C48">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 Umowa o Świadczeniu Usług oraz wszelkie spory lub roszczenia wynikające z niej, lub w związku z nią, lub jej przedmiotem, lub formą (w tym spory lub roszczenia pozaumowne), podlegają i będą interpretowane zgodnie z prawem </w:t>
            </w:r>
            <w:r w:rsidR="005F4607" w:rsidRPr="00755383">
              <w:rPr>
                <w:rFonts w:ascii="Calibri" w:eastAsia="Georgia" w:hAnsi="Calibri" w:cs="Calibri"/>
                <w:color w:val="000000"/>
                <w:sz w:val="14"/>
                <w:szCs w:val="14"/>
                <w:lang w:val="pl-PL"/>
              </w:rPr>
              <w:t>polskim</w:t>
            </w:r>
            <w:r w:rsidRPr="00755383">
              <w:rPr>
                <w:rFonts w:ascii="Calibri" w:eastAsia="Georgia" w:hAnsi="Calibri" w:cs="Calibri"/>
                <w:color w:val="000000"/>
                <w:sz w:val="14"/>
                <w:szCs w:val="14"/>
                <w:lang w:val="pl-PL"/>
              </w:rPr>
              <w:t xml:space="preserve">. </w:t>
            </w:r>
          </w:p>
        </w:tc>
      </w:tr>
      <w:tr w:rsidR="006163B3" w:rsidRPr="00755383" w14:paraId="231A88B5" w14:textId="77777777" w:rsidTr="006C27F7">
        <w:trPr>
          <w:trHeight w:val="223"/>
        </w:trPr>
        <w:tc>
          <w:tcPr>
            <w:tcW w:w="5245" w:type="dxa"/>
            <w:shd w:val="clear" w:color="auto" w:fill="auto"/>
            <w:noWrap/>
            <w:hideMark/>
          </w:tcPr>
          <w:p w14:paraId="3DEE9388" w14:textId="6CA4B7EA" w:rsidR="005A0203" w:rsidRPr="00755383" w:rsidRDefault="00F4424D" w:rsidP="00F4424D">
            <w:pPr>
              <w:spacing w:after="0" w:line="240" w:lineRule="auto"/>
              <w:ind w:left="605" w:hanging="605"/>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(b)     </w:t>
            </w:r>
            <w:r w:rsidR="00F13F55">
              <w:rPr>
                <w:rFonts w:ascii="Calibri" w:eastAsia="Georgia" w:hAnsi="Calibri" w:cs="Calibri"/>
                <w:color w:val="000000"/>
                <w:sz w:val="14"/>
                <w:szCs w:val="14"/>
              </w:rPr>
              <w:t xml:space="preserve">    </w:t>
            </w:r>
            <w:r w:rsidR="005A0203" w:rsidRPr="00755383">
              <w:rPr>
                <w:rFonts w:ascii="Calibri" w:eastAsia="Georgia" w:hAnsi="Calibri" w:cs="Calibri"/>
                <w:color w:val="000000"/>
                <w:sz w:val="14"/>
                <w:szCs w:val="14"/>
              </w:rPr>
              <w:t xml:space="preserve">Each party irrevocably agrees that the courts of </w:t>
            </w:r>
            <w:r w:rsidR="003001E2" w:rsidRPr="00755383">
              <w:rPr>
                <w:rFonts w:ascii="Calibri" w:eastAsia="Georgia" w:hAnsi="Calibri" w:cs="Calibri"/>
                <w:color w:val="000000"/>
                <w:sz w:val="14"/>
                <w:szCs w:val="14"/>
              </w:rPr>
              <w:t>Poland</w:t>
            </w:r>
            <w:r w:rsidR="005A0203" w:rsidRPr="00755383">
              <w:rPr>
                <w:rFonts w:ascii="Calibri" w:eastAsia="Georgia" w:hAnsi="Calibri" w:cs="Calibri"/>
                <w:color w:val="000000"/>
                <w:sz w:val="14"/>
                <w:szCs w:val="14"/>
              </w:rPr>
              <w:t xml:space="preserve"> shall have exclusive jurisdiction to settle any dispute or claim arising out of or in connection with this Service Agreement or its subject matter or formation (including non-contractual disputes or claims).</w:t>
            </w:r>
          </w:p>
          <w:p w14:paraId="14579E27" w14:textId="77777777" w:rsidR="0088733C" w:rsidRPr="00755383" w:rsidRDefault="0088733C" w:rsidP="0088733C">
            <w:pPr>
              <w:pStyle w:val="ListParagraph"/>
              <w:spacing w:after="0" w:line="240" w:lineRule="auto"/>
              <w:ind w:left="1310"/>
              <w:jc w:val="both"/>
              <w:rPr>
                <w:rFonts w:ascii="Calibri" w:eastAsia="Georgia" w:hAnsi="Calibri" w:cs="Calibri"/>
                <w:color w:val="000000"/>
                <w:sz w:val="14"/>
                <w:szCs w:val="14"/>
              </w:rPr>
            </w:pPr>
          </w:p>
          <w:p w14:paraId="13419F05" w14:textId="0AF6ECFE" w:rsidR="003D53E3" w:rsidRPr="00755383" w:rsidRDefault="003D53E3" w:rsidP="003D53E3">
            <w:pPr>
              <w:spacing w:after="0" w:line="240" w:lineRule="auto"/>
              <w:ind w:left="592" w:hanging="592"/>
              <w:jc w:val="both"/>
              <w:rPr>
                <w:rFonts w:ascii="Calibri" w:eastAsia="Times New Roman" w:hAnsi="Calibri" w:cs="Calibri"/>
                <w:color w:val="000000"/>
                <w:sz w:val="14"/>
                <w:szCs w:val="14"/>
              </w:rPr>
            </w:pPr>
          </w:p>
        </w:tc>
        <w:tc>
          <w:tcPr>
            <w:tcW w:w="5812" w:type="dxa"/>
            <w:shd w:val="clear" w:color="auto" w:fill="auto"/>
            <w:noWrap/>
            <w:hideMark/>
          </w:tcPr>
          <w:p w14:paraId="18747560" w14:textId="7B49506B" w:rsidR="005A0203" w:rsidRPr="00755383" w:rsidRDefault="005A0203" w:rsidP="003D53E3">
            <w:p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(b)      </w:t>
            </w:r>
            <w:r w:rsidR="00B67C48">
              <w:rPr>
                <w:rFonts w:ascii="Calibri" w:eastAsia="Georgia" w:hAnsi="Calibri" w:cs="Calibri"/>
                <w:color w:val="000000"/>
                <w:sz w:val="14"/>
                <w:szCs w:val="14"/>
                <w:lang w:val="pl-PL"/>
              </w:rPr>
              <w:t xml:space="preserve">   </w:t>
            </w:r>
            <w:r w:rsidRPr="00755383">
              <w:rPr>
                <w:rFonts w:ascii="Calibri" w:eastAsia="Georgia" w:hAnsi="Calibri" w:cs="Calibri"/>
                <w:color w:val="000000"/>
                <w:sz w:val="14"/>
                <w:szCs w:val="14"/>
                <w:lang w:val="pl-PL"/>
              </w:rPr>
              <w:t xml:space="preserve">Każda ze stron nieodwołalnie zgadza się, że </w:t>
            </w:r>
            <w:r w:rsidR="005F4607" w:rsidRPr="00755383">
              <w:rPr>
                <w:rFonts w:ascii="Calibri" w:eastAsia="Georgia" w:hAnsi="Calibri" w:cs="Calibri"/>
                <w:color w:val="000000"/>
                <w:sz w:val="14"/>
                <w:szCs w:val="14"/>
                <w:lang w:val="pl-PL"/>
              </w:rPr>
              <w:t xml:space="preserve">polskie </w:t>
            </w:r>
            <w:r w:rsidRPr="00755383">
              <w:rPr>
                <w:rFonts w:ascii="Calibri" w:eastAsia="Georgia" w:hAnsi="Calibri" w:cs="Calibri"/>
                <w:color w:val="000000"/>
                <w:sz w:val="14"/>
                <w:szCs w:val="14"/>
                <w:lang w:val="pl-PL"/>
              </w:rPr>
              <w:t xml:space="preserve">sądy </w:t>
            </w:r>
            <w:r w:rsidR="003001E2" w:rsidRPr="00755383">
              <w:rPr>
                <w:rFonts w:ascii="Calibri" w:eastAsia="Georgia" w:hAnsi="Calibri" w:cs="Calibri"/>
                <w:color w:val="000000"/>
                <w:sz w:val="14"/>
                <w:szCs w:val="14"/>
                <w:lang w:val="pl-PL"/>
              </w:rPr>
              <w:t>będą</w:t>
            </w:r>
            <w:r w:rsidRPr="00755383">
              <w:rPr>
                <w:rFonts w:ascii="Calibri" w:eastAsia="Georgia" w:hAnsi="Calibri" w:cs="Calibri"/>
                <w:color w:val="000000"/>
                <w:sz w:val="14"/>
                <w:szCs w:val="14"/>
                <w:lang w:val="pl-PL"/>
              </w:rPr>
              <w:t xml:space="preserve"> miały wyłączną </w:t>
            </w:r>
            <w:r w:rsidR="003001E2" w:rsidRPr="00755383">
              <w:rPr>
                <w:rFonts w:ascii="Calibri" w:eastAsia="Georgia" w:hAnsi="Calibri" w:cs="Calibri"/>
                <w:color w:val="000000"/>
                <w:sz w:val="14"/>
                <w:szCs w:val="14"/>
                <w:lang w:val="pl-PL"/>
              </w:rPr>
              <w:t>jurysdykcję</w:t>
            </w:r>
            <w:r w:rsidRPr="00755383">
              <w:rPr>
                <w:rFonts w:ascii="Calibri" w:eastAsia="Georgia" w:hAnsi="Calibri" w:cs="Calibri"/>
                <w:color w:val="000000"/>
                <w:sz w:val="14"/>
                <w:szCs w:val="14"/>
                <w:lang w:val="pl-PL"/>
              </w:rPr>
              <w:t xml:space="preserve"> do rozstrzygania wszelkich sporów lub roszczeń wynikających z niniejszej Umowy o Świadczeniu Usług, lub z nią związanych (w tym sporów, lub roszczeń pozaumownych). </w:t>
            </w:r>
          </w:p>
          <w:p w14:paraId="577E4B45" w14:textId="278AF20C" w:rsidR="007055F0" w:rsidRPr="00755383" w:rsidRDefault="007055F0" w:rsidP="003D53E3">
            <w:pPr>
              <w:spacing w:after="0" w:line="240" w:lineRule="auto"/>
              <w:ind w:left="463" w:hanging="463"/>
              <w:jc w:val="both"/>
              <w:rPr>
                <w:rFonts w:ascii="Calibri" w:eastAsia="Times New Roman" w:hAnsi="Calibri" w:cs="Calibri"/>
                <w:color w:val="000000"/>
                <w:sz w:val="14"/>
                <w:szCs w:val="14"/>
                <w:lang w:val="pl-PL"/>
              </w:rPr>
            </w:pPr>
          </w:p>
        </w:tc>
      </w:tr>
      <w:tr w:rsidR="006163B3" w:rsidRPr="00755383" w14:paraId="3BB0E907" w14:textId="77777777" w:rsidTr="006C27F7">
        <w:trPr>
          <w:trHeight w:val="134"/>
        </w:trPr>
        <w:tc>
          <w:tcPr>
            <w:tcW w:w="5245" w:type="dxa"/>
            <w:shd w:val="clear" w:color="auto" w:fill="auto"/>
            <w:noWrap/>
            <w:hideMark/>
          </w:tcPr>
          <w:p w14:paraId="2EE67A3E"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rPr>
              <w:t>12.              Miscellaneous</w:t>
            </w:r>
          </w:p>
        </w:tc>
        <w:tc>
          <w:tcPr>
            <w:tcW w:w="5812" w:type="dxa"/>
            <w:shd w:val="clear" w:color="auto" w:fill="auto"/>
            <w:noWrap/>
            <w:hideMark/>
          </w:tcPr>
          <w:p w14:paraId="5AEC70D1" w14:textId="77777777" w:rsidR="005A0203" w:rsidRPr="00755383" w:rsidRDefault="005A0203" w:rsidP="00336BB8">
            <w:pPr>
              <w:spacing w:after="0" w:line="240" w:lineRule="auto"/>
              <w:jc w:val="both"/>
              <w:rPr>
                <w:rFonts w:ascii="Calibri" w:eastAsia="Times New Roman" w:hAnsi="Calibri" w:cs="Calibri"/>
                <w:b/>
                <w:bCs/>
                <w:color w:val="000000"/>
                <w:sz w:val="14"/>
                <w:szCs w:val="14"/>
              </w:rPr>
            </w:pPr>
            <w:r w:rsidRPr="00755383">
              <w:rPr>
                <w:rFonts w:ascii="Calibri" w:eastAsia="Georgia" w:hAnsi="Calibri" w:cs="Calibri"/>
                <w:b/>
                <w:bCs/>
                <w:color w:val="000000"/>
                <w:sz w:val="14"/>
                <w:szCs w:val="14"/>
                <w:lang w:val="pl-PL"/>
              </w:rPr>
              <w:t>12.              Postanowienia różne</w:t>
            </w:r>
          </w:p>
        </w:tc>
      </w:tr>
      <w:tr w:rsidR="006163B3" w:rsidRPr="00755383" w14:paraId="46A21A51" w14:textId="77777777" w:rsidTr="006C27F7">
        <w:trPr>
          <w:trHeight w:val="818"/>
        </w:trPr>
        <w:tc>
          <w:tcPr>
            <w:tcW w:w="5245" w:type="dxa"/>
            <w:shd w:val="clear" w:color="auto" w:fill="auto"/>
            <w:noWrap/>
            <w:hideMark/>
          </w:tcPr>
          <w:p w14:paraId="0CE888FD" w14:textId="5C410527" w:rsidR="003B681B" w:rsidRPr="00755383" w:rsidRDefault="005A0203" w:rsidP="003B681B">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 Service Agreement constitutes the entire agreement between the parties in relation to its subject matter. It replaces and extinguishes all prior agreements, collateral warranties, collateral contracts, statements, representations and undertakings made by or on behalf of the parties, whether oral or written, in relation to that subject matter.</w:t>
            </w:r>
          </w:p>
        </w:tc>
        <w:tc>
          <w:tcPr>
            <w:tcW w:w="5812" w:type="dxa"/>
            <w:shd w:val="clear" w:color="auto" w:fill="auto"/>
            <w:noWrap/>
            <w:hideMark/>
          </w:tcPr>
          <w:p w14:paraId="4FDC0469" w14:textId="01FF0073" w:rsidR="003B681B" w:rsidRPr="00755383" w:rsidRDefault="005A0203" w:rsidP="003B681B">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Umowa o Świadczeniu Usług stanowi całość umowy między stronami w odniesieniu do jej przedmiotu. Zastępuje i znosi wszystkie wcześniejsze umowy, dodatkowe gwarancje, umowy dotyczące dodatkowych zabezpieczeń, deklaracje, oświadczenia i zobowiązania złożone przez strony, lub w ich imieniu ustnie bądź pisemnie w odniesieniu do tego przedmiotu. </w:t>
            </w:r>
          </w:p>
        </w:tc>
      </w:tr>
      <w:tr w:rsidR="006163B3" w:rsidRPr="00755383" w14:paraId="28D499BA" w14:textId="77777777" w:rsidTr="006C27F7">
        <w:trPr>
          <w:trHeight w:val="993"/>
        </w:trPr>
        <w:tc>
          <w:tcPr>
            <w:tcW w:w="5245" w:type="dxa"/>
            <w:shd w:val="clear" w:color="auto" w:fill="auto"/>
            <w:noWrap/>
            <w:hideMark/>
          </w:tcPr>
          <w:p w14:paraId="53D87E06" w14:textId="3FAA332D" w:rsidR="005A0203" w:rsidRPr="00755383" w:rsidRDefault="005A0203" w:rsidP="003B681B">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Each party acknowledges that in entering into this Service Agreement it has not relied upon any collateral warranties, collateral contracts, statements, representations or undertakings, whether oral or written, which were made by or on behalf of the other party in relation to the subject-matter of this Service Agreement (together Pre-Contractual Statements) and which are not set out in this Service Agreement.</w:t>
            </w:r>
          </w:p>
        </w:tc>
        <w:tc>
          <w:tcPr>
            <w:tcW w:w="5812" w:type="dxa"/>
            <w:shd w:val="clear" w:color="auto" w:fill="auto"/>
            <w:noWrap/>
            <w:hideMark/>
          </w:tcPr>
          <w:p w14:paraId="33679BE6" w14:textId="3508F505" w:rsidR="005A0203" w:rsidRPr="00755383" w:rsidRDefault="005A0203" w:rsidP="003B681B">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Każda ze stron przyjmuje do wiadomości, że zawierając niniejszą </w:t>
            </w:r>
            <w:proofErr w:type="spellStart"/>
            <w:r w:rsidRPr="00755383">
              <w:rPr>
                <w:rFonts w:ascii="Calibri" w:eastAsia="Georgia" w:hAnsi="Calibri" w:cs="Calibri"/>
                <w:color w:val="000000"/>
                <w:sz w:val="14"/>
                <w:szCs w:val="14"/>
                <w:lang w:val="pl-PL"/>
              </w:rPr>
              <w:t>Umowȩ</w:t>
            </w:r>
            <w:proofErr w:type="spellEnd"/>
            <w:r w:rsidRPr="00755383">
              <w:rPr>
                <w:rFonts w:ascii="Calibri" w:eastAsia="Georgia" w:hAnsi="Calibri" w:cs="Calibri"/>
                <w:color w:val="000000"/>
                <w:sz w:val="14"/>
                <w:szCs w:val="14"/>
                <w:lang w:val="pl-PL"/>
              </w:rPr>
              <w:t xml:space="preserve"> o Świadczeniu Usług nie </w:t>
            </w:r>
            <w:r w:rsidR="00BB1124" w:rsidRPr="00755383">
              <w:rPr>
                <w:rFonts w:ascii="Calibri" w:eastAsia="Georgia" w:hAnsi="Calibri" w:cs="Calibri"/>
                <w:color w:val="000000"/>
                <w:sz w:val="14"/>
                <w:szCs w:val="14"/>
                <w:lang w:val="pl-PL"/>
              </w:rPr>
              <w:t xml:space="preserve">opierała </w:t>
            </w:r>
            <w:r w:rsidRPr="00755383">
              <w:rPr>
                <w:rFonts w:ascii="Calibri" w:eastAsia="Georgia" w:hAnsi="Calibri" w:cs="Calibri"/>
                <w:color w:val="000000"/>
                <w:sz w:val="14"/>
                <w:szCs w:val="14"/>
                <w:lang w:val="pl-PL"/>
              </w:rPr>
              <w:t xml:space="preserve">się na żadnych dodatkowych gwarancjach, umowach o dodatkowym zabezpieczeniu, deklaracjach, oświadczeniach </w:t>
            </w:r>
            <w:r w:rsidR="00BB1124" w:rsidRPr="00755383">
              <w:rPr>
                <w:rFonts w:ascii="Calibri" w:eastAsia="Georgia" w:hAnsi="Calibri" w:cs="Calibri"/>
                <w:color w:val="000000"/>
                <w:sz w:val="14"/>
                <w:szCs w:val="14"/>
                <w:lang w:val="pl-PL"/>
              </w:rPr>
              <w:t xml:space="preserve">i </w:t>
            </w:r>
            <w:r w:rsidRPr="00755383">
              <w:rPr>
                <w:rFonts w:ascii="Calibri" w:eastAsia="Georgia" w:hAnsi="Calibri" w:cs="Calibri"/>
                <w:color w:val="000000"/>
                <w:sz w:val="14"/>
                <w:szCs w:val="14"/>
                <w:lang w:val="pl-PL"/>
              </w:rPr>
              <w:t xml:space="preserve">zobowiązaniach wyrażonych przez lub w imieniu drugiej strony ustnie </w:t>
            </w:r>
            <w:r w:rsidR="00AB5794" w:rsidRPr="00755383">
              <w:rPr>
                <w:rFonts w:ascii="Calibri" w:eastAsia="Georgia" w:hAnsi="Calibri" w:cs="Calibri"/>
                <w:color w:val="000000"/>
                <w:sz w:val="14"/>
                <w:szCs w:val="14"/>
                <w:lang w:val="pl-PL"/>
              </w:rPr>
              <w:t xml:space="preserve">czy </w:t>
            </w:r>
            <w:r w:rsidRPr="00755383">
              <w:rPr>
                <w:rFonts w:ascii="Calibri" w:eastAsia="Georgia" w:hAnsi="Calibri" w:cs="Calibri"/>
                <w:color w:val="000000"/>
                <w:sz w:val="14"/>
                <w:szCs w:val="14"/>
                <w:lang w:val="pl-PL"/>
              </w:rPr>
              <w:t xml:space="preserve">pisemnie w odniesieniu do przedmiotu niniejszej Umowy o Świadczeniu Usług (łącznie Oświadczeniami </w:t>
            </w:r>
            <w:proofErr w:type="spellStart"/>
            <w:r w:rsidRPr="00755383">
              <w:rPr>
                <w:rFonts w:ascii="Calibri" w:eastAsia="Georgia" w:hAnsi="Calibri" w:cs="Calibri"/>
                <w:color w:val="000000"/>
                <w:sz w:val="14"/>
                <w:szCs w:val="14"/>
                <w:lang w:val="pl-PL"/>
              </w:rPr>
              <w:t>Przedumownymi</w:t>
            </w:r>
            <w:proofErr w:type="spellEnd"/>
            <w:r w:rsidRPr="00755383">
              <w:rPr>
                <w:rFonts w:ascii="Calibri" w:eastAsia="Georgia" w:hAnsi="Calibri" w:cs="Calibri"/>
                <w:color w:val="000000"/>
                <w:sz w:val="14"/>
                <w:szCs w:val="14"/>
                <w:lang w:val="pl-PL"/>
              </w:rPr>
              <w:t xml:space="preserve">), które nie są określone w niniejszej Umowie o Świadczeniu Usług. </w:t>
            </w:r>
          </w:p>
        </w:tc>
      </w:tr>
      <w:tr w:rsidR="006163B3" w:rsidRPr="00755383" w14:paraId="095A6388" w14:textId="77777777" w:rsidTr="006C27F7">
        <w:trPr>
          <w:trHeight w:val="500"/>
        </w:trPr>
        <w:tc>
          <w:tcPr>
            <w:tcW w:w="5245" w:type="dxa"/>
            <w:shd w:val="clear" w:color="auto" w:fill="auto"/>
            <w:noWrap/>
            <w:hideMark/>
          </w:tcPr>
          <w:p w14:paraId="7F1A3FDF" w14:textId="0EBCE897" w:rsidR="005A0203" w:rsidRPr="00755383" w:rsidRDefault="005A0203" w:rsidP="003B681B">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Each party hereby waives all rights and remedies which might otherwise be available to it in relation to such Pre-Contractual Statements.</w:t>
            </w:r>
          </w:p>
        </w:tc>
        <w:tc>
          <w:tcPr>
            <w:tcW w:w="5812" w:type="dxa"/>
            <w:shd w:val="clear" w:color="auto" w:fill="auto"/>
            <w:noWrap/>
            <w:hideMark/>
          </w:tcPr>
          <w:p w14:paraId="2D113CE8" w14:textId="33AC98EF" w:rsidR="005A0203" w:rsidRPr="00755383" w:rsidRDefault="005A0203" w:rsidP="003B681B">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Każda ze stron niniejszym zrzeka </w:t>
            </w:r>
            <w:proofErr w:type="spellStart"/>
            <w:r w:rsidRPr="00755383">
              <w:rPr>
                <w:rFonts w:ascii="Calibri" w:eastAsia="Georgia" w:hAnsi="Calibri" w:cs="Calibri"/>
                <w:color w:val="000000"/>
                <w:sz w:val="14"/>
                <w:szCs w:val="14"/>
                <w:lang w:val="pl-PL"/>
              </w:rPr>
              <w:t>siȩ</w:t>
            </w:r>
            <w:proofErr w:type="spellEnd"/>
            <w:r w:rsidRPr="00755383">
              <w:rPr>
                <w:rFonts w:ascii="Calibri" w:eastAsia="Georgia" w:hAnsi="Calibri" w:cs="Calibri"/>
                <w:color w:val="000000"/>
                <w:sz w:val="14"/>
                <w:szCs w:val="14"/>
                <w:lang w:val="pl-PL"/>
              </w:rPr>
              <w:t xml:space="preserve"> wszelkich praw i środków ochrony prawnej, które w innym przypadku mogłyby jej przysługiwać w odniesieniu do takich Oświadczeń </w:t>
            </w:r>
            <w:proofErr w:type="spellStart"/>
            <w:r w:rsidRPr="00755383">
              <w:rPr>
                <w:rFonts w:ascii="Calibri" w:eastAsia="Georgia" w:hAnsi="Calibri" w:cs="Calibri"/>
                <w:color w:val="000000"/>
                <w:sz w:val="14"/>
                <w:szCs w:val="14"/>
                <w:lang w:val="pl-PL"/>
              </w:rPr>
              <w:t>Przedumownych</w:t>
            </w:r>
            <w:proofErr w:type="spellEnd"/>
            <w:r w:rsidRPr="00755383">
              <w:rPr>
                <w:rFonts w:ascii="Calibri" w:eastAsia="Georgia" w:hAnsi="Calibri" w:cs="Calibri"/>
                <w:color w:val="000000"/>
                <w:sz w:val="14"/>
                <w:szCs w:val="14"/>
                <w:lang w:val="pl-PL"/>
              </w:rPr>
              <w:t>.</w:t>
            </w:r>
          </w:p>
        </w:tc>
      </w:tr>
      <w:tr w:rsidR="006163B3" w:rsidRPr="00755383" w14:paraId="712AF46F" w14:textId="77777777" w:rsidTr="006C27F7">
        <w:trPr>
          <w:trHeight w:val="419"/>
        </w:trPr>
        <w:tc>
          <w:tcPr>
            <w:tcW w:w="5245" w:type="dxa"/>
            <w:shd w:val="clear" w:color="auto" w:fill="auto"/>
            <w:noWrap/>
            <w:hideMark/>
          </w:tcPr>
          <w:p w14:paraId="6BA90450" w14:textId="003397B1" w:rsidR="005A0203" w:rsidRPr="00755383" w:rsidRDefault="005A0203" w:rsidP="003B681B">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lastRenderedPageBreak/>
              <w:t>Nothing in this clause shall exclude or restrict the liability of either party arising out of its pre-contract fraudulent misrepresentation or fraudulent concealment.</w:t>
            </w:r>
          </w:p>
        </w:tc>
        <w:tc>
          <w:tcPr>
            <w:tcW w:w="5812" w:type="dxa"/>
            <w:shd w:val="clear" w:color="auto" w:fill="auto"/>
            <w:noWrap/>
            <w:hideMark/>
          </w:tcPr>
          <w:p w14:paraId="4E175BD6" w14:textId="7F73D3AD" w:rsidR="005A0203" w:rsidRPr="00755383" w:rsidRDefault="005A0203" w:rsidP="003B681B">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Żadne z postanowień zawartych w niniejszym ustępie nie wyłącza ani nie ogranicza odpowiedzialności którejkolwiek ze stron wynikającej z jej </w:t>
            </w:r>
            <w:r w:rsidR="00AB5794" w:rsidRPr="00755383">
              <w:rPr>
                <w:rFonts w:ascii="Calibri" w:eastAsia="Georgia" w:hAnsi="Calibri" w:cs="Calibri"/>
                <w:color w:val="000000"/>
                <w:sz w:val="14"/>
                <w:szCs w:val="14"/>
                <w:lang w:val="pl-PL"/>
              </w:rPr>
              <w:t xml:space="preserve">podstępnego </w:t>
            </w:r>
            <w:r w:rsidRPr="00755383">
              <w:rPr>
                <w:rFonts w:ascii="Calibri" w:eastAsia="Georgia" w:hAnsi="Calibri" w:cs="Calibri"/>
                <w:color w:val="000000"/>
                <w:sz w:val="14"/>
                <w:szCs w:val="14"/>
                <w:lang w:val="pl-PL"/>
              </w:rPr>
              <w:t>wprowadzenia w błąd lub</w:t>
            </w:r>
            <w:r w:rsidR="00AB5794" w:rsidRPr="00755383">
              <w:rPr>
                <w:rFonts w:ascii="Calibri" w:eastAsia="Georgia" w:hAnsi="Calibri" w:cs="Calibri"/>
                <w:color w:val="000000"/>
                <w:sz w:val="14"/>
                <w:szCs w:val="14"/>
                <w:lang w:val="pl-PL"/>
              </w:rPr>
              <w:t xml:space="preserve"> podstępnego</w:t>
            </w:r>
            <w:r w:rsidRPr="00755383">
              <w:rPr>
                <w:rFonts w:ascii="Calibri" w:eastAsia="Georgia" w:hAnsi="Calibri" w:cs="Calibri"/>
                <w:color w:val="000000"/>
                <w:sz w:val="14"/>
                <w:szCs w:val="14"/>
                <w:lang w:val="pl-PL"/>
              </w:rPr>
              <w:t xml:space="preserve"> zatajenia przed zawarciem umowy. </w:t>
            </w:r>
          </w:p>
        </w:tc>
      </w:tr>
      <w:tr w:rsidR="006163B3" w:rsidRPr="00755383" w14:paraId="1625D7E3" w14:textId="77777777" w:rsidTr="006C27F7">
        <w:trPr>
          <w:trHeight w:val="821"/>
        </w:trPr>
        <w:tc>
          <w:tcPr>
            <w:tcW w:w="5245" w:type="dxa"/>
            <w:shd w:val="clear" w:color="auto" w:fill="auto"/>
            <w:noWrap/>
            <w:hideMark/>
          </w:tcPr>
          <w:p w14:paraId="17F04269" w14:textId="564F0291" w:rsidR="005A0203" w:rsidRPr="00755383" w:rsidRDefault="005A0203" w:rsidP="003B681B">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Any samples, drawings, descriptive matter or advertising issued by Videojet, and any descriptions or illustrations contained in Videojet's catalogues or brochures, are issued or published for the sole purpose of giving an approximate idea of the Service described in them. They shall not form part of the Service Agreement or have any contractual force.</w:t>
            </w:r>
          </w:p>
        </w:tc>
        <w:tc>
          <w:tcPr>
            <w:tcW w:w="5812" w:type="dxa"/>
            <w:shd w:val="clear" w:color="auto" w:fill="auto"/>
            <w:noWrap/>
            <w:hideMark/>
          </w:tcPr>
          <w:p w14:paraId="773061D3" w14:textId="198C7F4C" w:rsidR="005A0203" w:rsidRPr="00755383" w:rsidRDefault="005A0203" w:rsidP="003B681B">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Wszelkie próbki, rysunki, materiały opisowe lub reklamowe wydane przez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oraz wszelkie opisy, lub ilustracje zawarte w katalogach, lub broszurach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są wydawane lub publikowane wyłącznie w celu przybliżenia opisanej w nich Usługi. Nie stanowią one części Umowy o Świadczeniu Usług ani nie mają jakiej</w:t>
            </w:r>
            <w:r w:rsidR="006163B3" w:rsidRPr="00755383">
              <w:rPr>
                <w:rFonts w:ascii="Calibri" w:eastAsia="Georgia" w:hAnsi="Calibri" w:cs="Calibri"/>
                <w:color w:val="000000"/>
                <w:sz w:val="14"/>
                <w:szCs w:val="14"/>
                <w:lang w:val="pl-PL"/>
              </w:rPr>
              <w:t>k</w:t>
            </w:r>
            <w:r w:rsidRPr="00755383">
              <w:rPr>
                <w:rFonts w:ascii="Calibri" w:eastAsia="Georgia" w:hAnsi="Calibri" w:cs="Calibri"/>
                <w:color w:val="000000"/>
                <w:sz w:val="14"/>
                <w:szCs w:val="14"/>
                <w:lang w:val="pl-PL"/>
              </w:rPr>
              <w:t xml:space="preserve">olwiek mocy umownej. </w:t>
            </w:r>
          </w:p>
        </w:tc>
      </w:tr>
      <w:tr w:rsidR="006163B3" w:rsidRPr="00755383" w14:paraId="7FEED7E9" w14:textId="77777777" w:rsidTr="006C27F7">
        <w:trPr>
          <w:trHeight w:val="466"/>
        </w:trPr>
        <w:tc>
          <w:tcPr>
            <w:tcW w:w="5245" w:type="dxa"/>
            <w:shd w:val="clear" w:color="auto" w:fill="auto"/>
            <w:noWrap/>
            <w:hideMark/>
          </w:tcPr>
          <w:p w14:paraId="44D7D93C" w14:textId="30226765" w:rsidR="005A0203" w:rsidRPr="00755383" w:rsidRDefault="005A0203" w:rsidP="003B681B">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These Terms apply to the Service Agreement to the exclusion of any other terms that the Customer seeks to impose or incorporate, or which are implied by trade, custom practice or course of dealing.</w:t>
            </w:r>
          </w:p>
        </w:tc>
        <w:tc>
          <w:tcPr>
            <w:tcW w:w="5812" w:type="dxa"/>
            <w:shd w:val="clear" w:color="auto" w:fill="auto"/>
            <w:noWrap/>
            <w:hideMark/>
          </w:tcPr>
          <w:p w14:paraId="27B5AE5C" w14:textId="130A901D" w:rsidR="005A0203" w:rsidRPr="00755383" w:rsidRDefault="005A0203" w:rsidP="003B681B">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Niniejsze Warunki mają zastosowanie do Umowy o Świadczeniu Usług z wyłączeniem wszelkich innych warunków, które Klient zamierza narzucić lub włączyć, lub które są implikowane przez </w:t>
            </w:r>
            <w:r w:rsidR="005019A2" w:rsidRPr="00755383">
              <w:rPr>
                <w:rFonts w:ascii="Calibri" w:eastAsia="Georgia" w:hAnsi="Calibri" w:cs="Calibri"/>
                <w:color w:val="000000"/>
                <w:sz w:val="14"/>
                <w:szCs w:val="14"/>
                <w:lang w:val="pl-PL"/>
              </w:rPr>
              <w:t xml:space="preserve">relacje </w:t>
            </w:r>
            <w:r w:rsidRPr="00755383">
              <w:rPr>
                <w:rFonts w:ascii="Calibri" w:eastAsia="Georgia" w:hAnsi="Calibri" w:cs="Calibri"/>
                <w:color w:val="000000"/>
                <w:sz w:val="14"/>
                <w:szCs w:val="14"/>
                <w:lang w:val="pl-PL"/>
              </w:rPr>
              <w:t>handl</w:t>
            </w:r>
            <w:r w:rsidR="005019A2" w:rsidRPr="00755383">
              <w:rPr>
                <w:rFonts w:ascii="Calibri" w:eastAsia="Georgia" w:hAnsi="Calibri" w:cs="Calibri"/>
                <w:color w:val="000000"/>
                <w:sz w:val="14"/>
                <w:szCs w:val="14"/>
                <w:lang w:val="pl-PL"/>
              </w:rPr>
              <w:t>owe</w:t>
            </w:r>
            <w:r w:rsidRPr="00755383">
              <w:rPr>
                <w:rFonts w:ascii="Calibri" w:eastAsia="Georgia" w:hAnsi="Calibri" w:cs="Calibri"/>
                <w:color w:val="000000"/>
                <w:sz w:val="14"/>
                <w:szCs w:val="14"/>
                <w:lang w:val="pl-PL"/>
              </w:rPr>
              <w:t xml:space="preserve">, zwyczaje, praktykę, lub sposób postępowania. </w:t>
            </w:r>
          </w:p>
        </w:tc>
      </w:tr>
      <w:tr w:rsidR="006163B3" w:rsidRPr="00755383" w14:paraId="6A6F2E42" w14:textId="77777777" w:rsidTr="006C27F7">
        <w:trPr>
          <w:trHeight w:val="814"/>
        </w:trPr>
        <w:tc>
          <w:tcPr>
            <w:tcW w:w="5245" w:type="dxa"/>
            <w:shd w:val="clear" w:color="auto" w:fill="auto"/>
            <w:noWrap/>
            <w:hideMark/>
          </w:tcPr>
          <w:p w14:paraId="08DDF358" w14:textId="2D2335AF"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In the event of any conflict between any of the documents comprising the Service Agreement, the descending order of precedence will be the terms and conditions in this Service Agreement, the Service Agreement Order Form and then any other document expressly referred to in this Service Agreement.</w:t>
            </w:r>
          </w:p>
        </w:tc>
        <w:tc>
          <w:tcPr>
            <w:tcW w:w="5812" w:type="dxa"/>
            <w:shd w:val="clear" w:color="auto" w:fill="auto"/>
            <w:noWrap/>
            <w:hideMark/>
          </w:tcPr>
          <w:p w14:paraId="45CD2773" w14:textId="1132641B"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 przypadku wystąpienia jakiejkolwiek niespójności między jakimikolwiek dokumentami składającymi </w:t>
            </w:r>
            <w:proofErr w:type="spellStart"/>
            <w:r w:rsidRPr="00755383">
              <w:rPr>
                <w:rFonts w:ascii="Calibri" w:eastAsia="Georgia" w:hAnsi="Calibri" w:cs="Calibri"/>
                <w:color w:val="000000"/>
                <w:sz w:val="14"/>
                <w:szCs w:val="14"/>
                <w:lang w:val="pl-PL"/>
              </w:rPr>
              <w:t>siȩ</w:t>
            </w:r>
            <w:proofErr w:type="spellEnd"/>
            <w:r w:rsidRPr="00755383">
              <w:rPr>
                <w:rFonts w:ascii="Calibri" w:eastAsia="Georgia" w:hAnsi="Calibri" w:cs="Calibri"/>
                <w:color w:val="000000"/>
                <w:sz w:val="14"/>
                <w:szCs w:val="14"/>
                <w:lang w:val="pl-PL"/>
              </w:rPr>
              <w:t xml:space="preserve"> na </w:t>
            </w:r>
            <w:proofErr w:type="spellStart"/>
            <w:r w:rsidRPr="00755383">
              <w:rPr>
                <w:rFonts w:ascii="Calibri" w:eastAsia="Georgia" w:hAnsi="Calibri" w:cs="Calibri"/>
                <w:color w:val="000000"/>
                <w:sz w:val="14"/>
                <w:szCs w:val="14"/>
                <w:lang w:val="pl-PL"/>
              </w:rPr>
              <w:t>Umowȩ</w:t>
            </w:r>
            <w:proofErr w:type="spellEnd"/>
            <w:r w:rsidRPr="00755383">
              <w:rPr>
                <w:rFonts w:ascii="Calibri" w:eastAsia="Georgia" w:hAnsi="Calibri" w:cs="Calibri"/>
                <w:color w:val="000000"/>
                <w:sz w:val="14"/>
                <w:szCs w:val="14"/>
                <w:lang w:val="pl-PL"/>
              </w:rPr>
              <w:t xml:space="preserve"> o Świadczeniu Usług, pierwszeństwo otrzymują (w porządku malejącym) warunki zawarte w niniejszej Umowie o Świadczeniu Usług, Formularzu Zamówienia Umowy o Świadczeniu Usług, a następnie każdy inny dokument, wyraźnie wymieniony w niniejszej Umowie o Świadczeniu Usług. </w:t>
            </w:r>
          </w:p>
        </w:tc>
      </w:tr>
      <w:tr w:rsidR="006163B3" w:rsidRPr="00755383" w14:paraId="57062D02" w14:textId="77777777" w:rsidTr="006C27F7">
        <w:trPr>
          <w:trHeight w:val="223"/>
        </w:trPr>
        <w:tc>
          <w:tcPr>
            <w:tcW w:w="5245" w:type="dxa"/>
            <w:shd w:val="clear" w:color="auto" w:fill="auto"/>
            <w:noWrap/>
            <w:hideMark/>
          </w:tcPr>
          <w:p w14:paraId="464E7EC1" w14:textId="3ACF522B"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If any provision of the Service Agreement to any extent is declared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the Service Agreement will not affect the validity and enforceability of the rest of the Service Agreement.</w:t>
            </w:r>
          </w:p>
        </w:tc>
        <w:tc>
          <w:tcPr>
            <w:tcW w:w="5812" w:type="dxa"/>
            <w:shd w:val="clear" w:color="auto" w:fill="auto"/>
            <w:noWrap/>
            <w:hideMark/>
          </w:tcPr>
          <w:p w14:paraId="4C6197B7" w14:textId="2DC56A4C"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Jeśli którekolwiek z postanowień Umowy o Świadczeniu Usług w jakimkolwiek zakresie zostało uznane za nieważne, niezgodne z prawem lub niewykonalne, zostanie uznane za zmodyfikowane w minimalnym zakresie niezbędnym do uczynienia go ważnym, zgodnym z prawem i wykonalnym. Jeśli taka modyfikacja nie jest możliwa, odpowiednie postanowienie lub jego część będzie uważane za usunięte. Jakakolwiek modyfikacja lub usunięcie postanowienia, lub </w:t>
            </w:r>
            <w:proofErr w:type="spellStart"/>
            <w:r w:rsidRPr="00755383">
              <w:rPr>
                <w:rFonts w:ascii="Calibri" w:eastAsia="Georgia" w:hAnsi="Calibri" w:cs="Calibri"/>
                <w:color w:val="000000"/>
                <w:sz w:val="14"/>
                <w:szCs w:val="14"/>
                <w:lang w:val="pl-PL"/>
              </w:rPr>
              <w:t>czȩści</w:t>
            </w:r>
            <w:proofErr w:type="spellEnd"/>
            <w:r w:rsidRPr="00755383">
              <w:rPr>
                <w:rFonts w:ascii="Calibri" w:eastAsia="Georgia" w:hAnsi="Calibri" w:cs="Calibri"/>
                <w:color w:val="000000"/>
                <w:sz w:val="14"/>
                <w:szCs w:val="14"/>
                <w:lang w:val="pl-PL"/>
              </w:rPr>
              <w:t xml:space="preserve"> postanowienia Umowy o Świadczeniu Usług nie wpływa na ważność i wykonalność pozostałej części Umowy o Świadczeniu Usług. </w:t>
            </w:r>
          </w:p>
        </w:tc>
      </w:tr>
      <w:tr w:rsidR="006163B3" w:rsidRPr="00755383" w14:paraId="246AD1D6" w14:textId="77777777" w:rsidTr="006C27F7">
        <w:trPr>
          <w:trHeight w:val="342"/>
        </w:trPr>
        <w:tc>
          <w:tcPr>
            <w:tcW w:w="5245" w:type="dxa"/>
            <w:shd w:val="clear" w:color="auto" w:fill="auto"/>
            <w:noWrap/>
            <w:hideMark/>
          </w:tcPr>
          <w:p w14:paraId="22F9844A" w14:textId="3E8FFC0F"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Any modifications hereto must be in writing and signed by a duly authorise signatory of both parties.</w:t>
            </w:r>
          </w:p>
        </w:tc>
        <w:tc>
          <w:tcPr>
            <w:tcW w:w="5812" w:type="dxa"/>
            <w:shd w:val="clear" w:color="auto" w:fill="auto"/>
            <w:noWrap/>
            <w:hideMark/>
          </w:tcPr>
          <w:p w14:paraId="5954C733" w14:textId="098BADFE"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Wszelkie modyfikacje niniejszej Umowy muszą mieć formę pisemną i być podpisane przez należycie upoważnioną osobę obu stron. </w:t>
            </w:r>
          </w:p>
        </w:tc>
      </w:tr>
      <w:tr w:rsidR="006163B3" w:rsidRPr="00755383" w14:paraId="4EBE0159" w14:textId="77777777" w:rsidTr="006C27F7">
        <w:trPr>
          <w:trHeight w:val="431"/>
        </w:trPr>
        <w:tc>
          <w:tcPr>
            <w:tcW w:w="5245" w:type="dxa"/>
            <w:shd w:val="clear" w:color="auto" w:fill="auto"/>
            <w:noWrap/>
            <w:hideMark/>
          </w:tcPr>
          <w:p w14:paraId="3100BE35" w14:textId="34C5AD62"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 xml:space="preserve">Either party’s failure to strictly enforce any of these terms shall not be considered a waiver of any of its rights hereunder.  </w:t>
            </w:r>
          </w:p>
        </w:tc>
        <w:tc>
          <w:tcPr>
            <w:tcW w:w="5812" w:type="dxa"/>
            <w:shd w:val="clear" w:color="auto" w:fill="auto"/>
            <w:noWrap/>
            <w:hideMark/>
          </w:tcPr>
          <w:p w14:paraId="048DCB54" w14:textId="4E9EAE95"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Brak ścisłego wykonania któregokolwiek z niniejszych warunków przez którąkolwiek ze stron nie będzie uważane za zrzeczenie się z któregokolwiek z jej praw wynikających z niniejszej Umowy.</w:t>
            </w:r>
          </w:p>
        </w:tc>
      </w:tr>
      <w:tr w:rsidR="006163B3" w:rsidRPr="00755383" w14:paraId="57DBE3E1" w14:textId="77777777" w:rsidTr="006C27F7">
        <w:trPr>
          <w:trHeight w:val="97"/>
        </w:trPr>
        <w:tc>
          <w:tcPr>
            <w:tcW w:w="5245" w:type="dxa"/>
            <w:shd w:val="clear" w:color="auto" w:fill="auto"/>
            <w:noWrap/>
            <w:hideMark/>
          </w:tcPr>
          <w:p w14:paraId="6A469722" w14:textId="1E994B97"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Any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tc>
        <w:tc>
          <w:tcPr>
            <w:tcW w:w="5812" w:type="dxa"/>
            <w:shd w:val="clear" w:color="auto" w:fill="auto"/>
            <w:noWrap/>
            <w:hideMark/>
          </w:tcPr>
          <w:p w14:paraId="3120F175" w14:textId="29DA6517"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Jakiekolwiek odniesienie do ustawodawstwa lub postanowienia ustawowego jest odniesieniem do takiego ustawodawstwa lub postanowienia w wersji zmienionej lub ponownie uchwalonej. Odniesienie do ustawodawstwa lub postanowienia ustawowego obejmuje wszelkie przepisy niższego szczebla wydane na podstawie tego ustawodawstwa, lub postanowienia ustawowego w formie zmienionej, lub ponownie uchwalonej.</w:t>
            </w:r>
          </w:p>
        </w:tc>
      </w:tr>
      <w:tr w:rsidR="006163B3" w:rsidRPr="00755383" w14:paraId="4D61B94C" w14:textId="77777777" w:rsidTr="006C27F7">
        <w:trPr>
          <w:trHeight w:val="456"/>
        </w:trPr>
        <w:tc>
          <w:tcPr>
            <w:tcW w:w="5245" w:type="dxa"/>
            <w:shd w:val="clear" w:color="auto" w:fill="auto"/>
            <w:noWrap/>
            <w:hideMark/>
          </w:tcPr>
          <w:p w14:paraId="29C2086E" w14:textId="79F5A22A"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Any phrase introduced by the terms including, include, in particular or any similar expression shall be construed as illustrative and shall not limit the sense of the words preceding those terms.</w:t>
            </w:r>
          </w:p>
        </w:tc>
        <w:tc>
          <w:tcPr>
            <w:tcW w:w="5812" w:type="dxa"/>
            <w:shd w:val="clear" w:color="auto" w:fill="auto"/>
            <w:noWrap/>
            <w:hideMark/>
          </w:tcPr>
          <w:p w14:paraId="13CA27B3" w14:textId="3A64DFAC"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Każde wyrażenie wprowadzone przez określenia: w tym, obejmujące, w szczególności lub jakiekolwiek podobne wyrazy, należy traktować jako obrazujące i nie ograniczają one znaczenia słów poprzedzających te wyrażenia. </w:t>
            </w:r>
          </w:p>
        </w:tc>
      </w:tr>
      <w:tr w:rsidR="006163B3" w:rsidRPr="00755383" w14:paraId="5C161035" w14:textId="77777777" w:rsidTr="006C27F7">
        <w:trPr>
          <w:trHeight w:val="647"/>
        </w:trPr>
        <w:tc>
          <w:tcPr>
            <w:tcW w:w="5245" w:type="dxa"/>
            <w:shd w:val="clear" w:color="auto" w:fill="auto"/>
            <w:noWrap/>
            <w:hideMark/>
          </w:tcPr>
          <w:p w14:paraId="390E6616" w14:textId="454BE1F7"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Videojet and the Customer are sophisticated business entities with comparable bargaining position and although this Services Agreement is on Videojet's standard terms, the parties have had an opportunity to procure independent legal advice as to their effect and to negotiate the terms herein.</w:t>
            </w:r>
          </w:p>
        </w:tc>
        <w:tc>
          <w:tcPr>
            <w:tcW w:w="5812" w:type="dxa"/>
            <w:shd w:val="clear" w:color="auto" w:fill="auto"/>
            <w:noWrap/>
            <w:hideMark/>
          </w:tcPr>
          <w:p w14:paraId="786F2CC9" w14:textId="4AE5ABCA"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i Kupujący są obytymi podmiotami gospodarczymi o porównywalnej pozycji przetargowej i chociaż niniejsza Umowa o Świadczenie Usług jest zgodna ze standardowymi warunkami firmy </w:t>
            </w:r>
            <w:proofErr w:type="spellStart"/>
            <w:r w:rsidRPr="00755383">
              <w:rPr>
                <w:rFonts w:ascii="Calibri" w:eastAsia="Georgia" w:hAnsi="Calibri" w:cs="Calibri"/>
                <w:color w:val="000000"/>
                <w:sz w:val="14"/>
                <w:szCs w:val="14"/>
                <w:lang w:val="pl-PL"/>
              </w:rPr>
              <w:t>Videojet</w:t>
            </w:r>
            <w:proofErr w:type="spellEnd"/>
            <w:r w:rsidRPr="00755383">
              <w:rPr>
                <w:rFonts w:ascii="Calibri" w:eastAsia="Georgia" w:hAnsi="Calibri" w:cs="Calibri"/>
                <w:color w:val="000000"/>
                <w:sz w:val="14"/>
                <w:szCs w:val="14"/>
                <w:lang w:val="pl-PL"/>
              </w:rPr>
              <w:t xml:space="preserve">, strony miały możliwość uzyskania niezależnej porady prawnej dotyczącej jej skutków i negocjowania zawartych w niej warunków.  </w:t>
            </w:r>
          </w:p>
        </w:tc>
      </w:tr>
      <w:tr w:rsidR="006163B3" w:rsidRPr="00755383" w14:paraId="1F093DE9" w14:textId="77777777" w:rsidTr="006C27F7">
        <w:trPr>
          <w:trHeight w:val="700"/>
        </w:trPr>
        <w:tc>
          <w:tcPr>
            <w:tcW w:w="5245" w:type="dxa"/>
            <w:shd w:val="clear" w:color="auto" w:fill="auto"/>
            <w:noWrap/>
            <w:hideMark/>
          </w:tcPr>
          <w:p w14:paraId="55789E64" w14:textId="2D9F5D28"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Nothing in the Service Agreement is intended to or shall be deemed to establish any partnership or joint venture between the parties, nor constitute either party the agent of the other for any purpose. Neither party shall have authority to act as agent for or to bind, the other party in any way.</w:t>
            </w:r>
          </w:p>
        </w:tc>
        <w:tc>
          <w:tcPr>
            <w:tcW w:w="5812" w:type="dxa"/>
            <w:shd w:val="clear" w:color="auto" w:fill="auto"/>
            <w:noWrap/>
            <w:hideMark/>
          </w:tcPr>
          <w:p w14:paraId="0F6133B4" w14:textId="27884188"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Żadne z postanowień w Umowie o Świadczeniu Usług nie ma na celu ani nie będzie uznane za ustanowienie spółki osobowej, ani przedsiębiorstwa typu joint venture między stronami, ani nie może czynić żadnej ze stron agentem drugiej strony w jakimkolwiek celu. Żadna ze stron nie jest uprawniona działać jako agent, ani wiązać drugą stronę w jakikolwiek sposób. </w:t>
            </w:r>
          </w:p>
        </w:tc>
      </w:tr>
      <w:tr w:rsidR="006163B3" w:rsidRPr="00755383" w14:paraId="03CCAA1C" w14:textId="77777777" w:rsidTr="006C27F7">
        <w:trPr>
          <w:trHeight w:val="348"/>
        </w:trPr>
        <w:tc>
          <w:tcPr>
            <w:tcW w:w="5245" w:type="dxa"/>
            <w:shd w:val="clear" w:color="auto" w:fill="auto"/>
            <w:noWrap/>
            <w:hideMark/>
          </w:tcPr>
          <w:p w14:paraId="4098CBFE" w14:textId="55C5862C"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 person who is not a party to this Services Agreement may not enforce any of its provisions</w:t>
            </w:r>
            <w:r w:rsidR="004C23FC" w:rsidRPr="00755383">
              <w:rPr>
                <w:rFonts w:ascii="Calibri" w:eastAsia="Georgia" w:hAnsi="Calibri" w:cs="Calibri"/>
                <w:color w:val="000000"/>
                <w:sz w:val="14"/>
                <w:szCs w:val="14"/>
              </w:rPr>
              <w:t>.</w:t>
            </w:r>
          </w:p>
        </w:tc>
        <w:tc>
          <w:tcPr>
            <w:tcW w:w="5812" w:type="dxa"/>
            <w:shd w:val="clear" w:color="auto" w:fill="auto"/>
            <w:noWrap/>
            <w:hideMark/>
          </w:tcPr>
          <w:p w14:paraId="40D69987" w14:textId="3146CE35"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Osoba, która nie jest stroną niniejszej Umowy o Świadczeniu Usług, nie może wykonywać żadnego z jej postanowień</w:t>
            </w:r>
            <w:r w:rsidR="00905B0D" w:rsidRPr="00755383">
              <w:rPr>
                <w:rFonts w:ascii="Calibri" w:eastAsia="Georgia" w:hAnsi="Calibri" w:cs="Calibri"/>
                <w:color w:val="000000"/>
                <w:sz w:val="14"/>
                <w:szCs w:val="14"/>
                <w:lang w:val="pl-PL"/>
              </w:rPr>
              <w:t>.</w:t>
            </w:r>
            <w:r w:rsidRPr="00755383">
              <w:rPr>
                <w:rFonts w:ascii="Calibri" w:eastAsia="Georgia" w:hAnsi="Calibri" w:cs="Calibri"/>
                <w:color w:val="000000"/>
                <w:sz w:val="14"/>
                <w:szCs w:val="14"/>
                <w:lang w:val="pl-PL"/>
              </w:rPr>
              <w:t xml:space="preserve"> </w:t>
            </w:r>
          </w:p>
        </w:tc>
      </w:tr>
      <w:tr w:rsidR="006163B3" w:rsidRPr="00755383" w14:paraId="75100D9F" w14:textId="77777777" w:rsidTr="006C27F7">
        <w:trPr>
          <w:trHeight w:val="1341"/>
        </w:trPr>
        <w:tc>
          <w:tcPr>
            <w:tcW w:w="5245" w:type="dxa"/>
            <w:shd w:val="clear" w:color="auto" w:fill="auto"/>
            <w:noWrap/>
            <w:hideMark/>
          </w:tcPr>
          <w:p w14:paraId="5DA6B462" w14:textId="792C3D26"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Termination or expiry of the Service Agreement shall not affect any rights, remedies, obligations or liabilities of the parties that have accrued up to the date of termination or expiry, including the right to claim damages in respect of any breach of the Service Agreement which existed at or before the date of termination or expiry. The termination or expiration of the Service Agreement will not affect the survival and continuing validity of any provision which expressly or by implication is intended to continue in force after such termination or expiration.</w:t>
            </w:r>
          </w:p>
        </w:tc>
        <w:tc>
          <w:tcPr>
            <w:tcW w:w="5812" w:type="dxa"/>
            <w:shd w:val="clear" w:color="auto" w:fill="auto"/>
            <w:noWrap/>
            <w:hideMark/>
          </w:tcPr>
          <w:p w14:paraId="5F6306FD" w14:textId="58BF7BCF"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 xml:space="preserve">Rozwiązanie lub </w:t>
            </w:r>
            <w:proofErr w:type="spellStart"/>
            <w:r w:rsidRPr="00755383">
              <w:rPr>
                <w:rFonts w:ascii="Calibri" w:eastAsia="Georgia" w:hAnsi="Calibri" w:cs="Calibri"/>
                <w:color w:val="000000"/>
                <w:sz w:val="14"/>
                <w:szCs w:val="14"/>
                <w:lang w:val="pl-PL"/>
              </w:rPr>
              <w:t>wygaśniȩcie</w:t>
            </w:r>
            <w:proofErr w:type="spellEnd"/>
            <w:r w:rsidRPr="00755383">
              <w:rPr>
                <w:rFonts w:ascii="Calibri" w:eastAsia="Georgia" w:hAnsi="Calibri" w:cs="Calibri"/>
                <w:color w:val="000000"/>
                <w:sz w:val="14"/>
                <w:szCs w:val="14"/>
                <w:lang w:val="pl-PL"/>
              </w:rPr>
              <w:t xml:space="preserve"> Umowy o Świadczeniu Usług nie ma wpływu na żadne prawa, środki ochrony prawnej, obowiązki i zobowiązania stron, które powstały do dnia rozwiązania lub wygaśnięcia, w tym prawo do roszczenia odszkodowawczego z tytułu naruszenia Umowy o Świadczeniu Usług, która istniała w dniu, lub przed datą rozwiązania lub wygaśnięcia. Rozwiązanie lub </w:t>
            </w:r>
            <w:proofErr w:type="spellStart"/>
            <w:r w:rsidRPr="00755383">
              <w:rPr>
                <w:rFonts w:ascii="Calibri" w:eastAsia="Georgia" w:hAnsi="Calibri" w:cs="Calibri"/>
                <w:color w:val="000000"/>
                <w:sz w:val="14"/>
                <w:szCs w:val="14"/>
                <w:lang w:val="pl-PL"/>
              </w:rPr>
              <w:t>wygaśniȩcie</w:t>
            </w:r>
            <w:proofErr w:type="spellEnd"/>
            <w:r w:rsidRPr="00755383">
              <w:rPr>
                <w:rFonts w:ascii="Calibri" w:eastAsia="Georgia" w:hAnsi="Calibri" w:cs="Calibri"/>
                <w:color w:val="000000"/>
                <w:sz w:val="14"/>
                <w:szCs w:val="14"/>
                <w:lang w:val="pl-PL"/>
              </w:rPr>
              <w:t xml:space="preserve"> Umowy o Świadczeniu Usług nie wpłynie na przetrwanie i dalszą ważność jakichkolwiek postanowień, które wyraźnie lub dorozumianie mają nadal obowiązywać po takim rozwiązaniu, lub </w:t>
            </w:r>
            <w:r w:rsidR="004C23FC" w:rsidRPr="00755383">
              <w:rPr>
                <w:rFonts w:ascii="Calibri" w:eastAsia="Georgia" w:hAnsi="Calibri" w:cs="Calibri"/>
                <w:color w:val="000000"/>
                <w:sz w:val="14"/>
                <w:szCs w:val="14"/>
                <w:lang w:val="pl-PL"/>
              </w:rPr>
              <w:t>wygaśnięciu</w:t>
            </w:r>
            <w:r w:rsidRPr="00755383">
              <w:rPr>
                <w:rFonts w:ascii="Calibri" w:eastAsia="Georgia" w:hAnsi="Calibri" w:cs="Calibri"/>
                <w:color w:val="000000"/>
                <w:sz w:val="14"/>
                <w:szCs w:val="14"/>
                <w:lang w:val="pl-PL"/>
              </w:rPr>
              <w:t>.</w:t>
            </w:r>
          </w:p>
        </w:tc>
      </w:tr>
      <w:tr w:rsidR="006163B3" w:rsidRPr="00755383" w14:paraId="20853F86" w14:textId="77777777" w:rsidTr="006C27F7">
        <w:trPr>
          <w:trHeight w:val="1089"/>
        </w:trPr>
        <w:tc>
          <w:tcPr>
            <w:tcW w:w="5245" w:type="dxa"/>
            <w:shd w:val="clear" w:color="auto" w:fill="auto"/>
            <w:noWrap/>
            <w:hideMark/>
          </w:tcPr>
          <w:p w14:paraId="03E77451" w14:textId="07E8E364"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Any notice or other communication given to a party under or in connection with the this Service Agreement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sent by pre-paid first class post or other next working day delivery service, commercial courier.</w:t>
            </w:r>
          </w:p>
        </w:tc>
        <w:tc>
          <w:tcPr>
            <w:tcW w:w="5812" w:type="dxa"/>
            <w:shd w:val="clear" w:color="auto" w:fill="auto"/>
            <w:noWrap/>
            <w:hideMark/>
          </w:tcPr>
          <w:p w14:paraId="6165FC19" w14:textId="276F4FA7"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Wszelkie zawiadomienia lub inne komunikaty przekazywane stronie na mocy lub w związku z niniejszą Umową o Świadczeniu Usług muszą mieć formę pisemną i być kierowane do tej strony w jej siedzibie (jeśli jest to spółka), lub głównego miejsca prowadzenia działalności (w każdym innym przypadku), lub na inny adres, który ta strona mogła podać drugiej stronie w formie pisemnej zgodnie z niniejszym ustępem, i zostaną dostarczone osobiście, wysłane opłaconą z góry przesyłką pocztową</w:t>
            </w:r>
            <w:r w:rsidR="00905B0D" w:rsidRPr="00755383">
              <w:rPr>
                <w:rFonts w:ascii="Calibri" w:eastAsia="Georgia" w:hAnsi="Calibri" w:cs="Calibri"/>
                <w:color w:val="000000"/>
                <w:sz w:val="14"/>
                <w:szCs w:val="14"/>
                <w:lang w:val="pl-PL"/>
              </w:rPr>
              <w:t xml:space="preserve"> poleconą</w:t>
            </w:r>
            <w:r w:rsidRPr="00755383">
              <w:rPr>
                <w:rFonts w:ascii="Calibri" w:eastAsia="Georgia" w:hAnsi="Calibri" w:cs="Calibri"/>
                <w:color w:val="000000"/>
                <w:sz w:val="14"/>
                <w:szCs w:val="14"/>
                <w:lang w:val="pl-PL"/>
              </w:rPr>
              <w:t>, lub inną usługą dostarczającą przesyłkę w następnym dniu roboczym, lub firmą kurierską.</w:t>
            </w:r>
          </w:p>
        </w:tc>
      </w:tr>
      <w:tr w:rsidR="006163B3" w:rsidRPr="00755383" w14:paraId="0EF68C32" w14:textId="77777777" w:rsidTr="006C27F7">
        <w:trPr>
          <w:trHeight w:val="699"/>
        </w:trPr>
        <w:tc>
          <w:tcPr>
            <w:tcW w:w="5245" w:type="dxa"/>
            <w:shd w:val="clear" w:color="auto" w:fill="auto"/>
            <w:noWrap/>
            <w:hideMark/>
          </w:tcPr>
          <w:p w14:paraId="32E2B57F" w14:textId="064B05C3" w:rsidR="005A0203" w:rsidRPr="00755383" w:rsidRDefault="005A0203" w:rsidP="006E6F50">
            <w:pPr>
              <w:pStyle w:val="ListParagraph"/>
              <w:numPr>
                <w:ilvl w:val="0"/>
                <w:numId w:val="34"/>
              </w:numPr>
              <w:spacing w:after="0" w:line="240" w:lineRule="auto"/>
              <w:ind w:left="592" w:hanging="567"/>
              <w:jc w:val="both"/>
              <w:rPr>
                <w:rFonts w:ascii="Calibri" w:eastAsia="Georgia" w:hAnsi="Calibri" w:cs="Calibri"/>
                <w:color w:val="000000"/>
                <w:sz w:val="14"/>
                <w:szCs w:val="14"/>
              </w:rPr>
            </w:pPr>
            <w:r w:rsidRPr="00755383">
              <w:rPr>
                <w:rFonts w:ascii="Calibri" w:eastAsia="Georgia" w:hAnsi="Calibri" w:cs="Calibri"/>
                <w:color w:val="000000"/>
                <w:sz w:val="14"/>
                <w:szCs w:val="14"/>
              </w:rPr>
              <w:t>A notice or other communication shall be deemed to have been received: if delivered personally, when left at the address referred above; if delivered by commercial courier, on the date and at the time that the courier’s delivery receipt is signed.</w:t>
            </w:r>
          </w:p>
        </w:tc>
        <w:tc>
          <w:tcPr>
            <w:tcW w:w="5812" w:type="dxa"/>
            <w:shd w:val="clear" w:color="auto" w:fill="auto"/>
            <w:noWrap/>
            <w:hideMark/>
          </w:tcPr>
          <w:p w14:paraId="3E599D5B" w14:textId="00D1A8F2" w:rsidR="005A0203" w:rsidRPr="00755383" w:rsidRDefault="005A0203" w:rsidP="006E6F50">
            <w:pPr>
              <w:pStyle w:val="ListParagraph"/>
              <w:numPr>
                <w:ilvl w:val="0"/>
                <w:numId w:val="35"/>
              </w:numPr>
              <w:spacing w:after="0" w:line="240" w:lineRule="auto"/>
              <w:ind w:left="463" w:hanging="463"/>
              <w:jc w:val="both"/>
              <w:rPr>
                <w:rFonts w:ascii="Calibri" w:eastAsia="Georgia" w:hAnsi="Calibri" w:cs="Calibri"/>
                <w:color w:val="000000"/>
                <w:sz w:val="14"/>
                <w:szCs w:val="14"/>
                <w:lang w:val="pl-PL"/>
              </w:rPr>
            </w:pPr>
            <w:r w:rsidRPr="00755383">
              <w:rPr>
                <w:rFonts w:ascii="Calibri" w:eastAsia="Georgia" w:hAnsi="Calibri" w:cs="Calibri"/>
                <w:color w:val="000000"/>
                <w:sz w:val="14"/>
                <w:szCs w:val="14"/>
                <w:lang w:val="pl-PL"/>
              </w:rPr>
              <w:t>Zawiadomienie lub inną korespondencję uważa się za otrzymane: w przypadku doręczenia osobiście, w przypadku pozostawienia pod ww. adresem; jeśli korespondencja dostarczona jest przez firmę kurierską, w dniu i o godzinie podpisania potwierdzenia odbioru.</w:t>
            </w:r>
          </w:p>
        </w:tc>
      </w:tr>
      <w:tr w:rsidR="006163B3" w:rsidRPr="00755383" w14:paraId="7335DA1F" w14:textId="77777777" w:rsidTr="006C27F7">
        <w:trPr>
          <w:trHeight w:val="300"/>
        </w:trPr>
        <w:tc>
          <w:tcPr>
            <w:tcW w:w="5245" w:type="dxa"/>
            <w:shd w:val="clear" w:color="auto" w:fill="auto"/>
            <w:noWrap/>
            <w:hideMark/>
          </w:tcPr>
          <w:p w14:paraId="236D0F5D" w14:textId="77777777" w:rsidR="005A0203" w:rsidRPr="00755383" w:rsidRDefault="005A0203" w:rsidP="00336BB8">
            <w:pPr>
              <w:spacing w:after="0" w:line="240" w:lineRule="auto"/>
              <w:jc w:val="both"/>
              <w:rPr>
                <w:rFonts w:ascii="Calibri" w:eastAsia="Times New Roman" w:hAnsi="Calibri" w:cs="Calibri"/>
                <w:color w:val="000000"/>
                <w:sz w:val="14"/>
                <w:szCs w:val="14"/>
                <w:lang w:val="pl-PL"/>
              </w:rPr>
            </w:pPr>
          </w:p>
        </w:tc>
        <w:tc>
          <w:tcPr>
            <w:tcW w:w="5812" w:type="dxa"/>
            <w:shd w:val="clear" w:color="auto" w:fill="auto"/>
            <w:noWrap/>
            <w:hideMark/>
          </w:tcPr>
          <w:p w14:paraId="29F33B47" w14:textId="77777777" w:rsidR="005A0203" w:rsidRPr="00755383" w:rsidRDefault="005A0203" w:rsidP="00336BB8">
            <w:pPr>
              <w:spacing w:after="0" w:line="240" w:lineRule="auto"/>
              <w:jc w:val="both"/>
              <w:rPr>
                <w:rFonts w:ascii="Calibri" w:eastAsia="Times New Roman" w:hAnsi="Calibri" w:cs="Calibri"/>
                <w:sz w:val="14"/>
                <w:szCs w:val="14"/>
                <w:lang w:val="pl-PL"/>
              </w:rPr>
            </w:pPr>
          </w:p>
        </w:tc>
      </w:tr>
      <w:tr w:rsidR="006163B3" w:rsidRPr="00755383" w14:paraId="2A00E8A1" w14:textId="77777777" w:rsidTr="006C27F7">
        <w:trPr>
          <w:trHeight w:val="300"/>
        </w:trPr>
        <w:tc>
          <w:tcPr>
            <w:tcW w:w="5245" w:type="dxa"/>
            <w:shd w:val="clear" w:color="auto" w:fill="auto"/>
            <w:noWrap/>
            <w:hideMark/>
          </w:tcPr>
          <w:p w14:paraId="73FDD477" w14:textId="77777777" w:rsidR="005A0203" w:rsidRPr="00755383" w:rsidRDefault="005A0203" w:rsidP="00336BB8">
            <w:pPr>
              <w:spacing w:after="0" w:line="240" w:lineRule="auto"/>
              <w:jc w:val="both"/>
              <w:rPr>
                <w:rFonts w:ascii="Calibri" w:eastAsia="Times New Roman" w:hAnsi="Calibri" w:cs="Calibri"/>
                <w:sz w:val="14"/>
                <w:szCs w:val="14"/>
                <w:lang w:val="pl-PL"/>
              </w:rPr>
            </w:pPr>
          </w:p>
        </w:tc>
        <w:tc>
          <w:tcPr>
            <w:tcW w:w="5812" w:type="dxa"/>
            <w:shd w:val="clear" w:color="auto" w:fill="auto"/>
            <w:noWrap/>
            <w:hideMark/>
          </w:tcPr>
          <w:p w14:paraId="6BCCC726" w14:textId="77777777" w:rsidR="005A0203" w:rsidRPr="00755383" w:rsidRDefault="005A0203" w:rsidP="00336BB8">
            <w:pPr>
              <w:spacing w:after="0" w:line="240" w:lineRule="auto"/>
              <w:jc w:val="both"/>
              <w:rPr>
                <w:rFonts w:ascii="Calibri" w:eastAsia="Times New Roman" w:hAnsi="Calibri" w:cs="Calibri"/>
                <w:sz w:val="14"/>
                <w:szCs w:val="14"/>
                <w:lang w:val="pl-PL"/>
              </w:rPr>
            </w:pPr>
          </w:p>
        </w:tc>
      </w:tr>
      <w:tr w:rsidR="006163B3" w:rsidRPr="00755383" w14:paraId="7BB2EF86" w14:textId="77777777" w:rsidTr="006C27F7">
        <w:trPr>
          <w:trHeight w:val="300"/>
        </w:trPr>
        <w:tc>
          <w:tcPr>
            <w:tcW w:w="5245" w:type="dxa"/>
            <w:shd w:val="clear" w:color="auto" w:fill="auto"/>
            <w:noWrap/>
          </w:tcPr>
          <w:p w14:paraId="7FE92AA5" w14:textId="6A25CA33" w:rsidR="00153B54" w:rsidRPr="00755383" w:rsidRDefault="00153B54" w:rsidP="00336BB8">
            <w:pPr>
              <w:spacing w:after="0" w:line="240" w:lineRule="auto"/>
              <w:jc w:val="both"/>
              <w:rPr>
                <w:rFonts w:ascii="Calibri" w:eastAsia="Times New Roman" w:hAnsi="Calibri" w:cs="Calibri"/>
                <w:sz w:val="14"/>
                <w:szCs w:val="14"/>
                <w:lang w:val="pl-PL"/>
              </w:rPr>
            </w:pPr>
          </w:p>
        </w:tc>
        <w:tc>
          <w:tcPr>
            <w:tcW w:w="5812" w:type="dxa"/>
            <w:shd w:val="clear" w:color="auto" w:fill="auto"/>
            <w:noWrap/>
          </w:tcPr>
          <w:p w14:paraId="2F160B0E" w14:textId="46CAF665" w:rsidR="00153B54" w:rsidRPr="00755383" w:rsidRDefault="00153B54" w:rsidP="00336BB8">
            <w:pPr>
              <w:spacing w:after="0" w:line="240" w:lineRule="auto"/>
              <w:jc w:val="both"/>
              <w:rPr>
                <w:rFonts w:ascii="Calibri" w:eastAsia="Times New Roman" w:hAnsi="Calibri" w:cs="Calibri"/>
                <w:color w:val="000000"/>
                <w:sz w:val="14"/>
                <w:szCs w:val="14"/>
                <w:lang w:val="pl-PL"/>
              </w:rPr>
            </w:pPr>
          </w:p>
        </w:tc>
      </w:tr>
    </w:tbl>
    <w:p w14:paraId="69549B05" w14:textId="77777777" w:rsidR="00D5748C" w:rsidRPr="00755383" w:rsidRDefault="00D5748C">
      <w:pPr>
        <w:rPr>
          <w:rFonts w:ascii="Calibri" w:hAnsi="Calibri" w:cs="Calibri"/>
          <w:sz w:val="14"/>
          <w:szCs w:val="14"/>
          <w:lang w:val="pl-PL"/>
        </w:rPr>
      </w:pPr>
    </w:p>
    <w:sectPr w:rsidR="00D5748C" w:rsidRPr="00755383" w:rsidSect="006C27F7">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F4BA" w14:textId="77777777" w:rsidR="003448AA" w:rsidRDefault="003448AA" w:rsidP="00893A70">
      <w:pPr>
        <w:spacing w:after="0" w:line="240" w:lineRule="auto"/>
      </w:pPr>
      <w:r>
        <w:separator/>
      </w:r>
    </w:p>
  </w:endnote>
  <w:endnote w:type="continuationSeparator" w:id="0">
    <w:p w14:paraId="711DBF9C" w14:textId="77777777" w:rsidR="003448AA" w:rsidRDefault="003448AA" w:rsidP="0089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91E" w14:textId="0BB123B2" w:rsidR="00893A70" w:rsidRPr="00993CD4" w:rsidRDefault="00AB0CF1" w:rsidP="00893A70">
    <w:pPr>
      <w:pStyle w:val="Footer"/>
      <w:rPr>
        <w:rFonts w:ascii="Calibri" w:hAnsi="Calibri" w:cs="Calibri"/>
        <w:sz w:val="16"/>
        <w:szCs w:val="16"/>
      </w:rPr>
    </w:pPr>
    <w:r>
      <w:rPr>
        <w:rFonts w:ascii="Calibri" w:hAnsi="Calibri" w:cs="Calibri"/>
        <w:sz w:val="16"/>
        <w:szCs w:val="16"/>
        <w:lang w:val="en-US"/>
      </w:rPr>
      <w:t>Terms and Conditions of Service Agreements</w:t>
    </w:r>
    <w:r w:rsidR="00893A70" w:rsidRPr="00993CD4">
      <w:rPr>
        <w:rFonts w:ascii="Calibri" w:hAnsi="Calibri" w:cs="Calibri"/>
        <w:sz w:val="16"/>
        <w:szCs w:val="16"/>
        <w:lang w:val="en-US"/>
      </w:rPr>
      <w:tab/>
    </w:r>
    <w:r w:rsidR="00893A70" w:rsidRPr="00993CD4">
      <w:rPr>
        <w:rFonts w:ascii="Calibri" w:hAnsi="Calibri" w:cs="Calibri"/>
        <w:sz w:val="16"/>
        <w:szCs w:val="16"/>
        <w:lang w:val="en-US"/>
      </w:rPr>
      <w:tab/>
    </w:r>
    <w:r w:rsidR="00D16CEA">
      <w:rPr>
        <w:rFonts w:ascii="Calibri" w:hAnsi="Calibri" w:cs="Calibri"/>
        <w:sz w:val="16"/>
        <w:szCs w:val="16"/>
        <w:lang w:val="en-US"/>
      </w:rPr>
      <w:tab/>
    </w:r>
    <w:r w:rsidR="00893A70" w:rsidRPr="00993CD4">
      <w:rPr>
        <w:rFonts w:ascii="Calibri" w:hAnsi="Calibri" w:cs="Calibri"/>
        <w:sz w:val="16"/>
        <w:szCs w:val="16"/>
        <w:lang w:val="en-US"/>
      </w:rPr>
      <w:t xml:space="preserve">p. </w:t>
    </w:r>
    <w:r w:rsidR="00893A70" w:rsidRPr="00993CD4">
      <w:rPr>
        <w:rFonts w:ascii="Calibri" w:hAnsi="Calibri" w:cs="Calibri"/>
        <w:sz w:val="16"/>
        <w:szCs w:val="16"/>
      </w:rPr>
      <w:fldChar w:fldCharType="begin"/>
    </w:r>
    <w:r w:rsidR="00893A70" w:rsidRPr="00993CD4">
      <w:rPr>
        <w:rFonts w:ascii="Calibri" w:hAnsi="Calibri" w:cs="Calibri"/>
        <w:sz w:val="16"/>
        <w:szCs w:val="16"/>
        <w:lang w:val="en-US"/>
      </w:rPr>
      <w:instrText>PAGE  \* Arabic  \* MERGEFORMAT</w:instrText>
    </w:r>
    <w:r w:rsidR="00893A70" w:rsidRPr="00993CD4">
      <w:rPr>
        <w:rFonts w:ascii="Calibri" w:hAnsi="Calibri" w:cs="Calibri"/>
        <w:sz w:val="16"/>
        <w:szCs w:val="16"/>
      </w:rPr>
      <w:fldChar w:fldCharType="separate"/>
    </w:r>
    <w:r w:rsidR="00893A70">
      <w:rPr>
        <w:rFonts w:ascii="Calibri" w:hAnsi="Calibri" w:cs="Calibri"/>
        <w:sz w:val="16"/>
        <w:szCs w:val="16"/>
      </w:rPr>
      <w:t>1</w:t>
    </w:r>
    <w:r w:rsidR="00893A70" w:rsidRPr="00993CD4">
      <w:rPr>
        <w:rFonts w:ascii="Calibri" w:hAnsi="Calibri" w:cs="Calibri"/>
        <w:sz w:val="16"/>
        <w:szCs w:val="16"/>
      </w:rPr>
      <w:fldChar w:fldCharType="end"/>
    </w:r>
    <w:r w:rsidR="00893A70" w:rsidRPr="00993CD4">
      <w:rPr>
        <w:rFonts w:ascii="Calibri" w:hAnsi="Calibri" w:cs="Calibri"/>
        <w:sz w:val="16"/>
        <w:szCs w:val="16"/>
        <w:lang w:val="en-US"/>
      </w:rPr>
      <w:t xml:space="preserve"> / </w:t>
    </w:r>
    <w:r w:rsidR="00893A70" w:rsidRPr="00993CD4">
      <w:rPr>
        <w:rFonts w:ascii="Calibri" w:hAnsi="Calibri" w:cs="Calibri"/>
        <w:sz w:val="16"/>
        <w:szCs w:val="16"/>
      </w:rPr>
      <w:fldChar w:fldCharType="begin"/>
    </w:r>
    <w:r w:rsidR="00893A70" w:rsidRPr="00993CD4">
      <w:rPr>
        <w:rFonts w:ascii="Calibri" w:hAnsi="Calibri" w:cs="Calibri"/>
        <w:sz w:val="16"/>
        <w:szCs w:val="16"/>
        <w:lang w:val="en-US"/>
      </w:rPr>
      <w:instrText>NUMPAGES  \* Arabic  \* MERGEFORMAT</w:instrText>
    </w:r>
    <w:r w:rsidR="00893A70" w:rsidRPr="00993CD4">
      <w:rPr>
        <w:rFonts w:ascii="Calibri" w:hAnsi="Calibri" w:cs="Calibri"/>
        <w:sz w:val="16"/>
        <w:szCs w:val="16"/>
      </w:rPr>
      <w:fldChar w:fldCharType="separate"/>
    </w:r>
    <w:r w:rsidR="00893A70">
      <w:rPr>
        <w:rFonts w:ascii="Calibri" w:hAnsi="Calibri" w:cs="Calibri"/>
        <w:sz w:val="16"/>
        <w:szCs w:val="16"/>
      </w:rPr>
      <w:t>4</w:t>
    </w:r>
    <w:r w:rsidR="00893A70" w:rsidRPr="00993CD4">
      <w:rPr>
        <w:rFonts w:ascii="Calibri" w:hAnsi="Calibri" w:cs="Calibri"/>
        <w:sz w:val="16"/>
        <w:szCs w:val="16"/>
      </w:rPr>
      <w:fldChar w:fldCharType="end"/>
    </w:r>
  </w:p>
  <w:p w14:paraId="363262FD" w14:textId="19E4EE23" w:rsidR="00893A70" w:rsidRPr="00D16CEA" w:rsidRDefault="00544482" w:rsidP="00893A70">
    <w:pPr>
      <w:pStyle w:val="Footer"/>
      <w:rPr>
        <w:rFonts w:ascii="Calibri" w:hAnsi="Calibri" w:cs="Calibri"/>
        <w:sz w:val="16"/>
        <w:szCs w:val="16"/>
      </w:rPr>
    </w:pPr>
    <w:r>
      <w:rPr>
        <w:rFonts w:ascii="Calibri" w:hAnsi="Calibri" w:cs="Calibri"/>
        <w:sz w:val="16"/>
        <w:szCs w:val="16"/>
      </w:rPr>
      <w:t>P</w:t>
    </w:r>
    <w:r w:rsidR="00AB0CF1">
      <w:rPr>
        <w:rFonts w:ascii="Calibri" w:hAnsi="Calibri" w:cs="Calibri"/>
        <w:sz w:val="16"/>
        <w:szCs w:val="16"/>
      </w:rPr>
      <w:t>OLAND</w:t>
    </w:r>
    <w:r w:rsidR="00893A70" w:rsidRPr="00993CD4">
      <w:rPr>
        <w:rFonts w:ascii="Calibri" w:hAnsi="Calibri" w:cs="Calibri"/>
        <w:sz w:val="16"/>
        <w:szCs w:val="16"/>
      </w:rPr>
      <w:tab/>
    </w:r>
    <w:r w:rsidR="00893A70" w:rsidRPr="00993CD4">
      <w:rPr>
        <w:rFonts w:ascii="Calibri" w:hAnsi="Calibri" w:cs="Calibri"/>
        <w:sz w:val="16"/>
        <w:szCs w:val="16"/>
      </w:rPr>
      <w:tab/>
    </w:r>
    <w:r w:rsidR="00D16CEA">
      <w:rPr>
        <w:rFonts w:ascii="Calibri" w:hAnsi="Calibri" w:cs="Calibri"/>
        <w:sz w:val="16"/>
        <w:szCs w:val="16"/>
      </w:rPr>
      <w:tab/>
    </w:r>
    <w:r w:rsidR="00893A70" w:rsidRPr="00993CD4">
      <w:rPr>
        <w:rFonts w:ascii="Calibri" w:hAnsi="Calibri" w:cs="Calibri"/>
        <w:sz w:val="16"/>
        <w:szCs w:val="16"/>
      </w:rPr>
      <w:t xml:space="preserve">rev. </w:t>
    </w:r>
    <w:r w:rsidR="00755383">
      <w:rPr>
        <w:rFonts w:ascii="Calibri" w:hAnsi="Calibri" w:cs="Calibri"/>
        <w:sz w:val="16"/>
        <w:szCs w:val="16"/>
      </w:rPr>
      <w:t>2</w:t>
    </w:r>
    <w:r w:rsidR="006C27F7">
      <w:rPr>
        <w:rFonts w:ascii="Calibri" w:hAnsi="Calibri" w:cs="Calibri"/>
        <w:sz w:val="16"/>
        <w:szCs w:val="16"/>
      </w:rPr>
      <w:t>023</w:t>
    </w:r>
    <w:r w:rsidR="00755383">
      <w:rPr>
        <w:rFonts w:ascii="Calibri" w:hAnsi="Calibri" w:cs="Calibri"/>
        <w:sz w:val="16"/>
        <w:szCs w:val="16"/>
      </w:rPr>
      <w:t>_</w:t>
    </w:r>
    <w:r w:rsidR="006C27F7">
      <w:rPr>
        <w:rFonts w:ascii="Calibri" w:hAnsi="Calibri" w:cs="Calibri"/>
        <w:sz w:val="16"/>
        <w:szCs w:val="16"/>
      </w:rPr>
      <w:t>V</w:t>
    </w:r>
  </w:p>
  <w:p w14:paraId="06EB26DE" w14:textId="77777777" w:rsidR="00893A70" w:rsidRPr="00893A70" w:rsidRDefault="00893A7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DBB8" w14:textId="77777777" w:rsidR="003448AA" w:rsidRDefault="003448AA" w:rsidP="00893A70">
      <w:pPr>
        <w:spacing w:after="0" w:line="240" w:lineRule="auto"/>
      </w:pPr>
      <w:r>
        <w:separator/>
      </w:r>
    </w:p>
  </w:footnote>
  <w:footnote w:type="continuationSeparator" w:id="0">
    <w:p w14:paraId="544B2BC3" w14:textId="77777777" w:rsidR="003448AA" w:rsidRDefault="003448AA" w:rsidP="00893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874"/>
    <w:multiLevelType w:val="hybridMultilevel"/>
    <w:tmpl w:val="6CBE16DE"/>
    <w:lvl w:ilvl="0" w:tplc="3D229F9A">
      <w:start w:val="1"/>
      <w:numFmt w:val="lowerLetter"/>
      <w:lvlText w:val="(%1)"/>
      <w:lvlJc w:val="left"/>
      <w:pPr>
        <w:ind w:left="1480" w:hanging="11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8543A"/>
    <w:multiLevelType w:val="hybridMultilevel"/>
    <w:tmpl w:val="373A2A58"/>
    <w:lvl w:ilvl="0" w:tplc="F37A3590">
      <w:start w:val="1"/>
      <w:numFmt w:val="lowerLetter"/>
      <w:lvlText w:val="(%1)"/>
      <w:lvlJc w:val="left"/>
      <w:pPr>
        <w:ind w:left="1310" w:hanging="9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9644BE"/>
    <w:multiLevelType w:val="hybridMultilevel"/>
    <w:tmpl w:val="A50E987E"/>
    <w:lvl w:ilvl="0" w:tplc="E446138E">
      <w:start w:val="1"/>
      <w:numFmt w:val="lowerLetter"/>
      <w:lvlText w:val="(%1)"/>
      <w:lvlJc w:val="left"/>
      <w:pPr>
        <w:ind w:left="1260" w:hanging="9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0804CC"/>
    <w:multiLevelType w:val="hybridMultilevel"/>
    <w:tmpl w:val="07221090"/>
    <w:lvl w:ilvl="0" w:tplc="D93EA24E">
      <w:start w:val="1"/>
      <w:numFmt w:val="lowerLetter"/>
      <w:lvlText w:val="(%1)"/>
      <w:lvlJc w:val="left"/>
      <w:pPr>
        <w:ind w:left="1260" w:hanging="9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E4074A"/>
    <w:multiLevelType w:val="hybridMultilevel"/>
    <w:tmpl w:val="6F1284B4"/>
    <w:lvl w:ilvl="0" w:tplc="3740F0D2">
      <w:start w:val="1"/>
      <w:numFmt w:val="lowerLetter"/>
      <w:lvlText w:val="(%1)"/>
      <w:lvlJc w:val="left"/>
      <w:pPr>
        <w:ind w:left="385" w:hanging="360"/>
      </w:pPr>
      <w:rPr>
        <w:rFonts w:hint="default"/>
      </w:rPr>
    </w:lvl>
    <w:lvl w:ilvl="1" w:tplc="04070019" w:tentative="1">
      <w:start w:val="1"/>
      <w:numFmt w:val="lowerLetter"/>
      <w:lvlText w:val="%2."/>
      <w:lvlJc w:val="left"/>
      <w:pPr>
        <w:ind w:left="1105" w:hanging="360"/>
      </w:pPr>
    </w:lvl>
    <w:lvl w:ilvl="2" w:tplc="0407001B" w:tentative="1">
      <w:start w:val="1"/>
      <w:numFmt w:val="lowerRoman"/>
      <w:lvlText w:val="%3."/>
      <w:lvlJc w:val="right"/>
      <w:pPr>
        <w:ind w:left="1825" w:hanging="180"/>
      </w:pPr>
    </w:lvl>
    <w:lvl w:ilvl="3" w:tplc="0407000F" w:tentative="1">
      <w:start w:val="1"/>
      <w:numFmt w:val="decimal"/>
      <w:lvlText w:val="%4."/>
      <w:lvlJc w:val="left"/>
      <w:pPr>
        <w:ind w:left="2545" w:hanging="360"/>
      </w:pPr>
    </w:lvl>
    <w:lvl w:ilvl="4" w:tplc="04070019" w:tentative="1">
      <w:start w:val="1"/>
      <w:numFmt w:val="lowerLetter"/>
      <w:lvlText w:val="%5."/>
      <w:lvlJc w:val="left"/>
      <w:pPr>
        <w:ind w:left="3265" w:hanging="360"/>
      </w:pPr>
    </w:lvl>
    <w:lvl w:ilvl="5" w:tplc="0407001B" w:tentative="1">
      <w:start w:val="1"/>
      <w:numFmt w:val="lowerRoman"/>
      <w:lvlText w:val="%6."/>
      <w:lvlJc w:val="right"/>
      <w:pPr>
        <w:ind w:left="3985" w:hanging="180"/>
      </w:pPr>
    </w:lvl>
    <w:lvl w:ilvl="6" w:tplc="0407000F" w:tentative="1">
      <w:start w:val="1"/>
      <w:numFmt w:val="decimal"/>
      <w:lvlText w:val="%7."/>
      <w:lvlJc w:val="left"/>
      <w:pPr>
        <w:ind w:left="4705" w:hanging="360"/>
      </w:pPr>
    </w:lvl>
    <w:lvl w:ilvl="7" w:tplc="04070019" w:tentative="1">
      <w:start w:val="1"/>
      <w:numFmt w:val="lowerLetter"/>
      <w:lvlText w:val="%8."/>
      <w:lvlJc w:val="left"/>
      <w:pPr>
        <w:ind w:left="5425" w:hanging="360"/>
      </w:pPr>
    </w:lvl>
    <w:lvl w:ilvl="8" w:tplc="0407001B" w:tentative="1">
      <w:start w:val="1"/>
      <w:numFmt w:val="lowerRoman"/>
      <w:lvlText w:val="%9."/>
      <w:lvlJc w:val="right"/>
      <w:pPr>
        <w:ind w:left="6145" w:hanging="180"/>
      </w:pPr>
    </w:lvl>
  </w:abstractNum>
  <w:abstractNum w:abstractNumId="5" w15:restartNumberingAfterBreak="0">
    <w:nsid w:val="2295696F"/>
    <w:multiLevelType w:val="hybridMultilevel"/>
    <w:tmpl w:val="A8122BA2"/>
    <w:lvl w:ilvl="0" w:tplc="A028923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5811C1"/>
    <w:multiLevelType w:val="hybridMultilevel"/>
    <w:tmpl w:val="059CB266"/>
    <w:lvl w:ilvl="0" w:tplc="3F505CAE">
      <w:start w:val="1"/>
      <w:numFmt w:val="lowerLetter"/>
      <w:lvlText w:val="(%1)"/>
      <w:lvlJc w:val="left"/>
      <w:pPr>
        <w:ind w:left="1340" w:hanging="9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8B2671"/>
    <w:multiLevelType w:val="hybridMultilevel"/>
    <w:tmpl w:val="0BA62C26"/>
    <w:lvl w:ilvl="0" w:tplc="FFEA6542">
      <w:start w:val="1"/>
      <w:numFmt w:val="lowerRoman"/>
      <w:lvlText w:val="%1)"/>
      <w:lvlJc w:val="left"/>
      <w:pPr>
        <w:ind w:left="1530" w:hanging="1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891133"/>
    <w:multiLevelType w:val="hybridMultilevel"/>
    <w:tmpl w:val="D554A28E"/>
    <w:lvl w:ilvl="0" w:tplc="262E1C74">
      <w:start w:val="1"/>
      <w:numFmt w:val="lowerLetter"/>
      <w:lvlText w:val="(%1)"/>
      <w:lvlJc w:val="left"/>
      <w:pPr>
        <w:ind w:left="1270" w:hanging="9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98419F"/>
    <w:multiLevelType w:val="hybridMultilevel"/>
    <w:tmpl w:val="E836E04E"/>
    <w:lvl w:ilvl="0" w:tplc="DB503418">
      <w:start w:val="1"/>
      <w:numFmt w:val="lowerRoman"/>
      <w:lvlText w:val="%1)"/>
      <w:lvlJc w:val="left"/>
      <w:pPr>
        <w:ind w:left="1490" w:hanging="11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245CDB"/>
    <w:multiLevelType w:val="hybridMultilevel"/>
    <w:tmpl w:val="F0FA4110"/>
    <w:lvl w:ilvl="0" w:tplc="6CD23C3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B1C10"/>
    <w:multiLevelType w:val="hybridMultilevel"/>
    <w:tmpl w:val="069CD0D8"/>
    <w:lvl w:ilvl="0" w:tplc="786A10DC">
      <w:start w:val="1"/>
      <w:numFmt w:val="lowerRoman"/>
      <w:lvlText w:val="%1)"/>
      <w:lvlJc w:val="left"/>
      <w:pPr>
        <w:ind w:left="1330" w:hanging="9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405DBF"/>
    <w:multiLevelType w:val="hybridMultilevel"/>
    <w:tmpl w:val="52E6B824"/>
    <w:lvl w:ilvl="0" w:tplc="AA90030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3E765C"/>
    <w:multiLevelType w:val="hybridMultilevel"/>
    <w:tmpl w:val="2B34F062"/>
    <w:lvl w:ilvl="0" w:tplc="4D4CCDBC">
      <w:start w:val="1"/>
      <w:numFmt w:val="lowerLetter"/>
      <w:lvlText w:val="(%1)"/>
      <w:lvlJc w:val="left"/>
      <w:pPr>
        <w:ind w:left="1390" w:hanging="10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69001A"/>
    <w:multiLevelType w:val="hybridMultilevel"/>
    <w:tmpl w:val="639E2D8A"/>
    <w:lvl w:ilvl="0" w:tplc="B85AF95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4C0311"/>
    <w:multiLevelType w:val="hybridMultilevel"/>
    <w:tmpl w:val="DBBA28D6"/>
    <w:lvl w:ilvl="0" w:tplc="D0087DFE">
      <w:start w:val="1"/>
      <w:numFmt w:val="lowerLetter"/>
      <w:lvlText w:val="(%1)"/>
      <w:lvlJc w:val="left"/>
      <w:pPr>
        <w:ind w:left="1260" w:hanging="9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8B0DF8"/>
    <w:multiLevelType w:val="hybridMultilevel"/>
    <w:tmpl w:val="27D221EE"/>
    <w:lvl w:ilvl="0" w:tplc="9A4E166C">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B25578"/>
    <w:multiLevelType w:val="hybridMultilevel"/>
    <w:tmpl w:val="36BAC768"/>
    <w:lvl w:ilvl="0" w:tplc="9A4E166C">
      <w:start w:val="1"/>
      <w:numFmt w:val="lowerRoman"/>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5C2F67"/>
    <w:multiLevelType w:val="hybridMultilevel"/>
    <w:tmpl w:val="66A2D95C"/>
    <w:lvl w:ilvl="0" w:tplc="9A4E166C">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510BFF"/>
    <w:multiLevelType w:val="hybridMultilevel"/>
    <w:tmpl w:val="BD2E1192"/>
    <w:lvl w:ilvl="0" w:tplc="AA7861D6">
      <w:start w:val="1"/>
      <w:numFmt w:val="lowerLetter"/>
      <w:lvlText w:val="(%1)"/>
      <w:lvlJc w:val="left"/>
      <w:pPr>
        <w:ind w:left="1250" w:hanging="8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8A37F2"/>
    <w:multiLevelType w:val="hybridMultilevel"/>
    <w:tmpl w:val="545A6D3A"/>
    <w:lvl w:ilvl="0" w:tplc="BDE6A13E">
      <w:start w:val="1"/>
      <w:numFmt w:val="lowerRoman"/>
      <w:lvlText w:val="%1)"/>
      <w:lvlJc w:val="left"/>
      <w:pPr>
        <w:ind w:left="1608" w:hanging="720"/>
      </w:pPr>
      <w:rPr>
        <w:rFonts w:hint="default"/>
      </w:rPr>
    </w:lvl>
    <w:lvl w:ilvl="1" w:tplc="04070019" w:tentative="1">
      <w:start w:val="1"/>
      <w:numFmt w:val="lowerLetter"/>
      <w:lvlText w:val="%2."/>
      <w:lvlJc w:val="left"/>
      <w:pPr>
        <w:ind w:left="1968" w:hanging="360"/>
      </w:pPr>
    </w:lvl>
    <w:lvl w:ilvl="2" w:tplc="0407001B" w:tentative="1">
      <w:start w:val="1"/>
      <w:numFmt w:val="lowerRoman"/>
      <w:lvlText w:val="%3."/>
      <w:lvlJc w:val="right"/>
      <w:pPr>
        <w:ind w:left="2688" w:hanging="180"/>
      </w:pPr>
    </w:lvl>
    <w:lvl w:ilvl="3" w:tplc="0407000F" w:tentative="1">
      <w:start w:val="1"/>
      <w:numFmt w:val="decimal"/>
      <w:lvlText w:val="%4."/>
      <w:lvlJc w:val="left"/>
      <w:pPr>
        <w:ind w:left="3408" w:hanging="360"/>
      </w:pPr>
    </w:lvl>
    <w:lvl w:ilvl="4" w:tplc="04070019" w:tentative="1">
      <w:start w:val="1"/>
      <w:numFmt w:val="lowerLetter"/>
      <w:lvlText w:val="%5."/>
      <w:lvlJc w:val="left"/>
      <w:pPr>
        <w:ind w:left="4128" w:hanging="360"/>
      </w:pPr>
    </w:lvl>
    <w:lvl w:ilvl="5" w:tplc="0407001B" w:tentative="1">
      <w:start w:val="1"/>
      <w:numFmt w:val="lowerRoman"/>
      <w:lvlText w:val="%6."/>
      <w:lvlJc w:val="right"/>
      <w:pPr>
        <w:ind w:left="4848" w:hanging="180"/>
      </w:pPr>
    </w:lvl>
    <w:lvl w:ilvl="6" w:tplc="0407000F" w:tentative="1">
      <w:start w:val="1"/>
      <w:numFmt w:val="decimal"/>
      <w:lvlText w:val="%7."/>
      <w:lvlJc w:val="left"/>
      <w:pPr>
        <w:ind w:left="5568" w:hanging="360"/>
      </w:pPr>
    </w:lvl>
    <w:lvl w:ilvl="7" w:tplc="04070019" w:tentative="1">
      <w:start w:val="1"/>
      <w:numFmt w:val="lowerLetter"/>
      <w:lvlText w:val="%8."/>
      <w:lvlJc w:val="left"/>
      <w:pPr>
        <w:ind w:left="6288" w:hanging="360"/>
      </w:pPr>
    </w:lvl>
    <w:lvl w:ilvl="8" w:tplc="0407001B" w:tentative="1">
      <w:start w:val="1"/>
      <w:numFmt w:val="lowerRoman"/>
      <w:lvlText w:val="%9."/>
      <w:lvlJc w:val="right"/>
      <w:pPr>
        <w:ind w:left="7008" w:hanging="180"/>
      </w:pPr>
    </w:lvl>
  </w:abstractNum>
  <w:abstractNum w:abstractNumId="21" w15:restartNumberingAfterBreak="0">
    <w:nsid w:val="51A8643E"/>
    <w:multiLevelType w:val="hybridMultilevel"/>
    <w:tmpl w:val="9A98212A"/>
    <w:lvl w:ilvl="0" w:tplc="14B833DA">
      <w:start w:val="1"/>
      <w:numFmt w:val="lowerLetter"/>
      <w:lvlText w:val="(%1)"/>
      <w:lvlJc w:val="left"/>
      <w:pPr>
        <w:ind w:left="1290" w:hanging="9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CE1771"/>
    <w:multiLevelType w:val="hybridMultilevel"/>
    <w:tmpl w:val="DE88C588"/>
    <w:lvl w:ilvl="0" w:tplc="505AE3E2">
      <w:start w:val="1"/>
      <w:numFmt w:val="lowerRoman"/>
      <w:lvlText w:val="%1)"/>
      <w:lvlJc w:val="left"/>
      <w:pPr>
        <w:ind w:left="1340" w:hanging="9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39159C"/>
    <w:multiLevelType w:val="hybridMultilevel"/>
    <w:tmpl w:val="653AFFC8"/>
    <w:lvl w:ilvl="0" w:tplc="9A4E166C">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870740"/>
    <w:multiLevelType w:val="hybridMultilevel"/>
    <w:tmpl w:val="692AD496"/>
    <w:lvl w:ilvl="0" w:tplc="24E6CCC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426B78"/>
    <w:multiLevelType w:val="hybridMultilevel"/>
    <w:tmpl w:val="E826B362"/>
    <w:lvl w:ilvl="0" w:tplc="E968B8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B27805"/>
    <w:multiLevelType w:val="hybridMultilevel"/>
    <w:tmpl w:val="8C9A5552"/>
    <w:lvl w:ilvl="0" w:tplc="6B900E50">
      <w:start w:val="1"/>
      <w:numFmt w:val="lowerLetter"/>
      <w:lvlText w:val="(%1)"/>
      <w:lvlJc w:val="left"/>
      <w:pPr>
        <w:ind w:left="1350" w:hanging="9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F216EC"/>
    <w:multiLevelType w:val="hybridMultilevel"/>
    <w:tmpl w:val="6B40EFD2"/>
    <w:lvl w:ilvl="0" w:tplc="364C565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3B1303"/>
    <w:multiLevelType w:val="hybridMultilevel"/>
    <w:tmpl w:val="95D8EE50"/>
    <w:lvl w:ilvl="0" w:tplc="226AAE7E">
      <w:start w:val="1"/>
      <w:numFmt w:val="lowerLetter"/>
      <w:lvlText w:val="(%1)"/>
      <w:lvlJc w:val="left"/>
      <w:pPr>
        <w:ind w:left="1260" w:hanging="9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3E603AE"/>
    <w:multiLevelType w:val="hybridMultilevel"/>
    <w:tmpl w:val="56625080"/>
    <w:lvl w:ilvl="0" w:tplc="01044932">
      <w:start w:val="1"/>
      <w:numFmt w:val="lowerRoman"/>
      <w:lvlText w:val="%1)"/>
      <w:lvlJc w:val="left"/>
      <w:pPr>
        <w:ind w:left="1390" w:hanging="10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6D758EC"/>
    <w:multiLevelType w:val="hybridMultilevel"/>
    <w:tmpl w:val="51F6DCB6"/>
    <w:lvl w:ilvl="0" w:tplc="16FCFFF4">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7649DF"/>
    <w:multiLevelType w:val="hybridMultilevel"/>
    <w:tmpl w:val="78B08AAA"/>
    <w:lvl w:ilvl="0" w:tplc="3858E96C">
      <w:start w:val="1"/>
      <w:numFmt w:val="low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7BF30EA"/>
    <w:multiLevelType w:val="hybridMultilevel"/>
    <w:tmpl w:val="0B2E2FDE"/>
    <w:lvl w:ilvl="0" w:tplc="91D2B6B6">
      <w:start w:val="1"/>
      <w:numFmt w:val="lowerRoman"/>
      <w:lvlText w:val="%1)"/>
      <w:lvlJc w:val="left"/>
      <w:pPr>
        <w:ind w:left="1350" w:hanging="9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AE0EB6"/>
    <w:multiLevelType w:val="hybridMultilevel"/>
    <w:tmpl w:val="A01272CA"/>
    <w:lvl w:ilvl="0" w:tplc="BFC45E22">
      <w:start w:val="1"/>
      <w:numFmt w:val="lowerLetter"/>
      <w:lvlText w:val="(%1)"/>
      <w:lvlJc w:val="left"/>
      <w:pPr>
        <w:ind w:left="910" w:hanging="5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BC0B9B"/>
    <w:multiLevelType w:val="hybridMultilevel"/>
    <w:tmpl w:val="A9DAAE38"/>
    <w:lvl w:ilvl="0" w:tplc="9A4E166C">
      <w:start w:val="1"/>
      <w:numFmt w:val="lowerRoman"/>
      <w:lvlText w:val="%1)"/>
      <w:lvlJc w:val="left"/>
      <w:pPr>
        <w:ind w:left="1312" w:hanging="720"/>
      </w:pPr>
      <w:rPr>
        <w:rFonts w:hint="default"/>
      </w:rPr>
    </w:lvl>
    <w:lvl w:ilvl="1" w:tplc="04070019" w:tentative="1">
      <w:start w:val="1"/>
      <w:numFmt w:val="lowerLetter"/>
      <w:lvlText w:val="%2."/>
      <w:lvlJc w:val="left"/>
      <w:pPr>
        <w:ind w:left="1672" w:hanging="360"/>
      </w:pPr>
    </w:lvl>
    <w:lvl w:ilvl="2" w:tplc="0407001B" w:tentative="1">
      <w:start w:val="1"/>
      <w:numFmt w:val="lowerRoman"/>
      <w:lvlText w:val="%3."/>
      <w:lvlJc w:val="right"/>
      <w:pPr>
        <w:ind w:left="2392" w:hanging="180"/>
      </w:pPr>
    </w:lvl>
    <w:lvl w:ilvl="3" w:tplc="0407000F" w:tentative="1">
      <w:start w:val="1"/>
      <w:numFmt w:val="decimal"/>
      <w:lvlText w:val="%4."/>
      <w:lvlJc w:val="left"/>
      <w:pPr>
        <w:ind w:left="3112" w:hanging="360"/>
      </w:pPr>
    </w:lvl>
    <w:lvl w:ilvl="4" w:tplc="04070019" w:tentative="1">
      <w:start w:val="1"/>
      <w:numFmt w:val="lowerLetter"/>
      <w:lvlText w:val="%5."/>
      <w:lvlJc w:val="left"/>
      <w:pPr>
        <w:ind w:left="3832" w:hanging="360"/>
      </w:pPr>
    </w:lvl>
    <w:lvl w:ilvl="5" w:tplc="0407001B" w:tentative="1">
      <w:start w:val="1"/>
      <w:numFmt w:val="lowerRoman"/>
      <w:lvlText w:val="%6."/>
      <w:lvlJc w:val="right"/>
      <w:pPr>
        <w:ind w:left="4552" w:hanging="180"/>
      </w:pPr>
    </w:lvl>
    <w:lvl w:ilvl="6" w:tplc="0407000F" w:tentative="1">
      <w:start w:val="1"/>
      <w:numFmt w:val="decimal"/>
      <w:lvlText w:val="%7."/>
      <w:lvlJc w:val="left"/>
      <w:pPr>
        <w:ind w:left="5272" w:hanging="360"/>
      </w:pPr>
    </w:lvl>
    <w:lvl w:ilvl="7" w:tplc="04070019" w:tentative="1">
      <w:start w:val="1"/>
      <w:numFmt w:val="lowerLetter"/>
      <w:lvlText w:val="%8."/>
      <w:lvlJc w:val="left"/>
      <w:pPr>
        <w:ind w:left="5992" w:hanging="360"/>
      </w:pPr>
    </w:lvl>
    <w:lvl w:ilvl="8" w:tplc="0407001B" w:tentative="1">
      <w:start w:val="1"/>
      <w:numFmt w:val="lowerRoman"/>
      <w:lvlText w:val="%9."/>
      <w:lvlJc w:val="right"/>
      <w:pPr>
        <w:ind w:left="6712" w:hanging="180"/>
      </w:pPr>
    </w:lvl>
  </w:abstractNum>
  <w:num w:numId="1" w16cid:durableId="1157528975">
    <w:abstractNumId w:val="4"/>
  </w:num>
  <w:num w:numId="2" w16cid:durableId="1581982015">
    <w:abstractNumId w:val="33"/>
  </w:num>
  <w:num w:numId="3" w16cid:durableId="1825200705">
    <w:abstractNumId w:val="0"/>
  </w:num>
  <w:num w:numId="4" w16cid:durableId="1809349853">
    <w:abstractNumId w:val="34"/>
  </w:num>
  <w:num w:numId="5" w16cid:durableId="1512142217">
    <w:abstractNumId w:val="25"/>
  </w:num>
  <w:num w:numId="6" w16cid:durableId="2031756207">
    <w:abstractNumId w:val="7"/>
  </w:num>
  <w:num w:numId="7" w16cid:durableId="1528907003">
    <w:abstractNumId w:val="27"/>
  </w:num>
  <w:num w:numId="8" w16cid:durableId="1610549489">
    <w:abstractNumId w:val="24"/>
  </w:num>
  <w:num w:numId="9" w16cid:durableId="653920962">
    <w:abstractNumId w:val="28"/>
  </w:num>
  <w:num w:numId="10" w16cid:durableId="1718775912">
    <w:abstractNumId w:val="15"/>
  </w:num>
  <w:num w:numId="11" w16cid:durableId="1920170818">
    <w:abstractNumId w:val="3"/>
  </w:num>
  <w:num w:numId="12" w16cid:durableId="339508676">
    <w:abstractNumId w:val="2"/>
  </w:num>
  <w:num w:numId="13" w16cid:durableId="1201478895">
    <w:abstractNumId w:val="9"/>
  </w:num>
  <w:num w:numId="14" w16cid:durableId="1754546800">
    <w:abstractNumId w:val="31"/>
  </w:num>
  <w:num w:numId="15" w16cid:durableId="494614154">
    <w:abstractNumId w:val="29"/>
  </w:num>
  <w:num w:numId="16" w16cid:durableId="2078429064">
    <w:abstractNumId w:val="11"/>
  </w:num>
  <w:num w:numId="17" w16cid:durableId="695817407">
    <w:abstractNumId w:val="13"/>
  </w:num>
  <w:num w:numId="18" w16cid:durableId="617029515">
    <w:abstractNumId w:val="26"/>
  </w:num>
  <w:num w:numId="19" w16cid:durableId="1765689620">
    <w:abstractNumId w:val="19"/>
  </w:num>
  <w:num w:numId="20" w16cid:durableId="1641106627">
    <w:abstractNumId w:val="1"/>
  </w:num>
  <w:num w:numId="21" w16cid:durableId="1581713486">
    <w:abstractNumId w:val="5"/>
  </w:num>
  <w:num w:numId="22" w16cid:durableId="613099725">
    <w:abstractNumId w:val="32"/>
  </w:num>
  <w:num w:numId="23" w16cid:durableId="2112505310">
    <w:abstractNumId w:val="8"/>
  </w:num>
  <w:num w:numId="24" w16cid:durableId="1902328923">
    <w:abstractNumId w:val="22"/>
  </w:num>
  <w:num w:numId="25" w16cid:durableId="1784421768">
    <w:abstractNumId w:val="30"/>
  </w:num>
  <w:num w:numId="26" w16cid:durableId="1085877133">
    <w:abstractNumId w:val="21"/>
  </w:num>
  <w:num w:numId="27" w16cid:durableId="63337652">
    <w:abstractNumId w:val="6"/>
  </w:num>
  <w:num w:numId="28" w16cid:durableId="277176188">
    <w:abstractNumId w:val="23"/>
  </w:num>
  <w:num w:numId="29" w16cid:durableId="578633742">
    <w:abstractNumId w:val="14"/>
  </w:num>
  <w:num w:numId="30" w16cid:durableId="1973363195">
    <w:abstractNumId w:val="16"/>
  </w:num>
  <w:num w:numId="31" w16cid:durableId="246303998">
    <w:abstractNumId w:val="17"/>
  </w:num>
  <w:num w:numId="32" w16cid:durableId="1428885939">
    <w:abstractNumId w:val="20"/>
  </w:num>
  <w:num w:numId="33" w16cid:durableId="2020617923">
    <w:abstractNumId w:val="18"/>
  </w:num>
  <w:num w:numId="34" w16cid:durableId="1469476428">
    <w:abstractNumId w:val="10"/>
  </w:num>
  <w:num w:numId="35" w16cid:durableId="1396513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Warsaw"/>
  </w:docVars>
  <w:rsids>
    <w:rsidRoot w:val="005A0203"/>
    <w:rsid w:val="0004674F"/>
    <w:rsid w:val="00071087"/>
    <w:rsid w:val="000725AF"/>
    <w:rsid w:val="000C1E48"/>
    <w:rsid w:val="000D22D4"/>
    <w:rsid w:val="000E2E2D"/>
    <w:rsid w:val="000E5833"/>
    <w:rsid w:val="000E6E13"/>
    <w:rsid w:val="0010718C"/>
    <w:rsid w:val="00121175"/>
    <w:rsid w:val="00152DC6"/>
    <w:rsid w:val="00153B54"/>
    <w:rsid w:val="00171304"/>
    <w:rsid w:val="00190D7C"/>
    <w:rsid w:val="00191DC5"/>
    <w:rsid w:val="001A1CE0"/>
    <w:rsid w:val="001A75AD"/>
    <w:rsid w:val="001E04FB"/>
    <w:rsid w:val="001F6352"/>
    <w:rsid w:val="00215113"/>
    <w:rsid w:val="0023545D"/>
    <w:rsid w:val="0023666B"/>
    <w:rsid w:val="00246132"/>
    <w:rsid w:val="00255C0C"/>
    <w:rsid w:val="00294450"/>
    <w:rsid w:val="002B4FF2"/>
    <w:rsid w:val="002C0A94"/>
    <w:rsid w:val="003001E2"/>
    <w:rsid w:val="00333254"/>
    <w:rsid w:val="00336BB8"/>
    <w:rsid w:val="003448AA"/>
    <w:rsid w:val="003919A8"/>
    <w:rsid w:val="0039600B"/>
    <w:rsid w:val="003A676D"/>
    <w:rsid w:val="003B681B"/>
    <w:rsid w:val="003D53E3"/>
    <w:rsid w:val="003E3CE1"/>
    <w:rsid w:val="003E689C"/>
    <w:rsid w:val="00431141"/>
    <w:rsid w:val="004C23FC"/>
    <w:rsid w:val="004D6164"/>
    <w:rsid w:val="005019A2"/>
    <w:rsid w:val="005274B2"/>
    <w:rsid w:val="00544482"/>
    <w:rsid w:val="00554DDC"/>
    <w:rsid w:val="005560EE"/>
    <w:rsid w:val="00572443"/>
    <w:rsid w:val="005A0203"/>
    <w:rsid w:val="005A25DA"/>
    <w:rsid w:val="005E14F4"/>
    <w:rsid w:val="005E3F22"/>
    <w:rsid w:val="005F1323"/>
    <w:rsid w:val="005F4607"/>
    <w:rsid w:val="006163B3"/>
    <w:rsid w:val="00653CE8"/>
    <w:rsid w:val="006713FA"/>
    <w:rsid w:val="006A25B2"/>
    <w:rsid w:val="006C27F7"/>
    <w:rsid w:val="006E6F50"/>
    <w:rsid w:val="007055F0"/>
    <w:rsid w:val="00713EF2"/>
    <w:rsid w:val="007215A7"/>
    <w:rsid w:val="00755383"/>
    <w:rsid w:val="007E0C7C"/>
    <w:rsid w:val="00822AF8"/>
    <w:rsid w:val="00833996"/>
    <w:rsid w:val="00840811"/>
    <w:rsid w:val="00873D99"/>
    <w:rsid w:val="00882BE2"/>
    <w:rsid w:val="0088733C"/>
    <w:rsid w:val="00893A70"/>
    <w:rsid w:val="008D17E4"/>
    <w:rsid w:val="008E7CAE"/>
    <w:rsid w:val="008F21FF"/>
    <w:rsid w:val="00905B0D"/>
    <w:rsid w:val="009111D1"/>
    <w:rsid w:val="00964494"/>
    <w:rsid w:val="00977338"/>
    <w:rsid w:val="009775DF"/>
    <w:rsid w:val="009B5C53"/>
    <w:rsid w:val="009D1424"/>
    <w:rsid w:val="009E7D17"/>
    <w:rsid w:val="009F3767"/>
    <w:rsid w:val="00A04347"/>
    <w:rsid w:val="00A11F9B"/>
    <w:rsid w:val="00A15F21"/>
    <w:rsid w:val="00A65059"/>
    <w:rsid w:val="00A978A2"/>
    <w:rsid w:val="00AB0CF1"/>
    <w:rsid w:val="00AB5794"/>
    <w:rsid w:val="00B13C6F"/>
    <w:rsid w:val="00B42FB1"/>
    <w:rsid w:val="00B55F2E"/>
    <w:rsid w:val="00B63FC6"/>
    <w:rsid w:val="00B67C48"/>
    <w:rsid w:val="00BB1124"/>
    <w:rsid w:val="00BD2153"/>
    <w:rsid w:val="00C00D45"/>
    <w:rsid w:val="00C24236"/>
    <w:rsid w:val="00C47695"/>
    <w:rsid w:val="00C56E3D"/>
    <w:rsid w:val="00C66E9B"/>
    <w:rsid w:val="00C757C8"/>
    <w:rsid w:val="00C9499C"/>
    <w:rsid w:val="00CB1E42"/>
    <w:rsid w:val="00CB3AE7"/>
    <w:rsid w:val="00CE73B7"/>
    <w:rsid w:val="00D16CEA"/>
    <w:rsid w:val="00D450B2"/>
    <w:rsid w:val="00D465DD"/>
    <w:rsid w:val="00D5748C"/>
    <w:rsid w:val="00D74011"/>
    <w:rsid w:val="00DA6198"/>
    <w:rsid w:val="00DB0D4D"/>
    <w:rsid w:val="00DB4C86"/>
    <w:rsid w:val="00DB6659"/>
    <w:rsid w:val="00DD7D92"/>
    <w:rsid w:val="00E3151F"/>
    <w:rsid w:val="00E72F0D"/>
    <w:rsid w:val="00E76DFB"/>
    <w:rsid w:val="00E832AA"/>
    <w:rsid w:val="00E93E63"/>
    <w:rsid w:val="00EF3F43"/>
    <w:rsid w:val="00EF796D"/>
    <w:rsid w:val="00F04E95"/>
    <w:rsid w:val="00F079E2"/>
    <w:rsid w:val="00F13556"/>
    <w:rsid w:val="00F13F55"/>
    <w:rsid w:val="00F4424D"/>
    <w:rsid w:val="00F6519C"/>
    <w:rsid w:val="00F8720A"/>
    <w:rsid w:val="00F87E1B"/>
    <w:rsid w:val="00FA3323"/>
    <w:rsid w:val="00FF084E"/>
    <w:rsid w:val="00FF10F2"/>
    <w:rsid w:val="00FF6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344BF"/>
  <w15:chartTrackingRefBased/>
  <w15:docId w15:val="{C76D063D-674F-4DCB-810C-B5C3010D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6BB8"/>
    <w:pPr>
      <w:spacing w:after="0" w:line="240" w:lineRule="auto"/>
    </w:pPr>
  </w:style>
  <w:style w:type="paragraph" w:styleId="BalloonText">
    <w:name w:val="Balloon Text"/>
    <w:basedOn w:val="Normal"/>
    <w:link w:val="BalloonTextChar"/>
    <w:uiPriority w:val="99"/>
    <w:semiHidden/>
    <w:unhideWhenUsed/>
    <w:rsid w:val="002B4F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4FF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D6164"/>
    <w:rPr>
      <w:sz w:val="16"/>
      <w:szCs w:val="16"/>
    </w:rPr>
  </w:style>
  <w:style w:type="paragraph" w:styleId="CommentText">
    <w:name w:val="annotation text"/>
    <w:basedOn w:val="Normal"/>
    <w:link w:val="CommentTextChar"/>
    <w:uiPriority w:val="99"/>
    <w:unhideWhenUsed/>
    <w:rsid w:val="004D6164"/>
    <w:pPr>
      <w:spacing w:line="240" w:lineRule="auto"/>
    </w:pPr>
    <w:rPr>
      <w:sz w:val="20"/>
      <w:szCs w:val="20"/>
    </w:rPr>
  </w:style>
  <w:style w:type="character" w:customStyle="1" w:styleId="CommentTextChar">
    <w:name w:val="Comment Text Char"/>
    <w:basedOn w:val="DefaultParagraphFont"/>
    <w:link w:val="CommentText"/>
    <w:uiPriority w:val="99"/>
    <w:rsid w:val="004D6164"/>
    <w:rPr>
      <w:sz w:val="20"/>
      <w:szCs w:val="20"/>
    </w:rPr>
  </w:style>
  <w:style w:type="paragraph" w:styleId="CommentSubject">
    <w:name w:val="annotation subject"/>
    <w:basedOn w:val="CommentText"/>
    <w:next w:val="CommentText"/>
    <w:link w:val="CommentSubjectChar"/>
    <w:uiPriority w:val="99"/>
    <w:semiHidden/>
    <w:unhideWhenUsed/>
    <w:rsid w:val="004D6164"/>
    <w:rPr>
      <w:b/>
      <w:bCs/>
    </w:rPr>
  </w:style>
  <w:style w:type="character" w:customStyle="1" w:styleId="CommentSubjectChar">
    <w:name w:val="Comment Subject Char"/>
    <w:basedOn w:val="CommentTextChar"/>
    <w:link w:val="CommentSubject"/>
    <w:uiPriority w:val="99"/>
    <w:semiHidden/>
    <w:rsid w:val="004D6164"/>
    <w:rPr>
      <w:b/>
      <w:bCs/>
      <w:sz w:val="20"/>
      <w:szCs w:val="20"/>
    </w:rPr>
  </w:style>
  <w:style w:type="paragraph" w:styleId="BlockText">
    <w:name w:val="Block Text"/>
    <w:basedOn w:val="Normal"/>
    <w:uiPriority w:val="99"/>
    <w:semiHidden/>
    <w:rsid w:val="004D6164"/>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240" w:line="240" w:lineRule="auto"/>
      <w:ind w:left="1152" w:right="1152"/>
    </w:pPr>
    <w:rPr>
      <w:i/>
      <w:iCs/>
      <w:color w:val="4472C4" w:themeColor="accent1"/>
      <w:szCs w:val="20"/>
      <w:lang w:val="pl-PL" w:eastAsia="en-US"/>
    </w:rPr>
  </w:style>
  <w:style w:type="paragraph" w:customStyle="1" w:styleId="DoubleIndent">
    <w:name w:val="Double Indent"/>
    <w:basedOn w:val="Normal"/>
    <w:uiPriority w:val="99"/>
    <w:rsid w:val="00CB3AE7"/>
    <w:pPr>
      <w:autoSpaceDE w:val="0"/>
      <w:autoSpaceDN w:val="0"/>
      <w:adjustRightInd w:val="0"/>
      <w:spacing w:after="240" w:line="240" w:lineRule="auto"/>
      <w:ind w:left="720" w:right="720"/>
      <w:jc w:val="both"/>
    </w:pPr>
    <w:rPr>
      <w:rFonts w:ascii="Times New Roman" w:hAnsi="Times New Roman" w:cs="Times New Roman"/>
      <w:sz w:val="24"/>
      <w:szCs w:val="24"/>
      <w:lang w:eastAsia="en-US"/>
    </w:rPr>
  </w:style>
  <w:style w:type="paragraph" w:styleId="Header">
    <w:name w:val="header"/>
    <w:basedOn w:val="Normal"/>
    <w:link w:val="HeaderChar"/>
    <w:uiPriority w:val="99"/>
    <w:unhideWhenUsed/>
    <w:rsid w:val="00893A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3A70"/>
  </w:style>
  <w:style w:type="paragraph" w:styleId="Footer">
    <w:name w:val="footer"/>
    <w:basedOn w:val="Normal"/>
    <w:link w:val="FooterChar"/>
    <w:uiPriority w:val="99"/>
    <w:unhideWhenUsed/>
    <w:rsid w:val="00893A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3A70"/>
  </w:style>
  <w:style w:type="paragraph" w:styleId="ListParagraph">
    <w:name w:val="List Paragraph"/>
    <w:basedOn w:val="Normal"/>
    <w:uiPriority w:val="34"/>
    <w:qFormat/>
    <w:rsid w:val="00C56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9223AAC5E6C4A8ACB4DCF93B7D23B" ma:contentTypeVersion="4" ma:contentTypeDescription="Create a new document." ma:contentTypeScope="" ma:versionID="b6c311d4c944215cdc5cb9701c32f02b">
  <xsd:schema xmlns:xsd="http://www.w3.org/2001/XMLSchema" xmlns:xs="http://www.w3.org/2001/XMLSchema" xmlns:p="http://schemas.microsoft.com/office/2006/metadata/properties" xmlns:ns2="e83c7e6c-f4a6-403b-aed4-d71a72ccf0cf" xmlns:ns3="5291b5f8-f28d-4a1c-a6e6-b1502972b1a3" targetNamespace="http://schemas.microsoft.com/office/2006/metadata/properties" ma:root="true" ma:fieldsID="1e11ea3cb58c466ebd8386e4e648cf7a" ns2:_="" ns3:_="">
    <xsd:import namespace="e83c7e6c-f4a6-403b-aed4-d71a72ccf0cf"/>
    <xsd:import namespace="5291b5f8-f28d-4a1c-a6e6-b1502972b1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7e6c-f4a6-403b-aed4-d71a72ccf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1b5f8-f28d-4a1c-a6e6-b1502972b1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E4097-885E-48B5-80C7-13E6AC8A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7e6c-f4a6-403b-aed4-d71a72ccf0cf"/>
    <ds:schemaRef ds:uri="5291b5f8-f28d-4a1c-a6e6-b1502972b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BF8DA-48E2-4EF3-B19B-7FD0C449ED5C}">
  <ds:schemaRefs>
    <ds:schemaRef ds:uri="http://schemas.microsoft.com/sharepoint/v3/contenttype/forms"/>
  </ds:schemaRefs>
</ds:datastoreItem>
</file>

<file path=customXml/itemProps3.xml><?xml version="1.0" encoding="utf-8"?>
<ds:datastoreItem xmlns:ds="http://schemas.openxmlformats.org/officeDocument/2006/customXml" ds:itemID="{7A4EF2D9-26F9-481F-A371-3ECE646A1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7063</Words>
  <Characters>44497</Characters>
  <Application>Microsoft Office Word</Application>
  <DocSecurity>0</DocSecurity>
  <Lines>370</Lines>
  <Paragraphs>102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Richter</dc:creator>
  <cp:keywords/>
  <dc:description/>
  <cp:lastModifiedBy>Richter, Mayte</cp:lastModifiedBy>
  <cp:revision>5</cp:revision>
  <dcterms:created xsi:type="dcterms:W3CDTF">2022-12-19T12:35:00Z</dcterms:created>
  <dcterms:modified xsi:type="dcterms:W3CDTF">2023-05-10T10:08:00Z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0x0101003DC9223AAC5E6C4A8ACB4DCF93B7D23B</vt:lpwstr>
  </property>
  <property fmtid="{D5CDD505-2E9C-101B-9397-08002B2CF9AE}" pid="3" name="MSIP_Label_f48041ff-f5de-4583-8841-e2a1851ee5d2_Enabled">
    <vt:lpwstr>true</vt:lpwstr>
  </property>
  <property fmtid="{D5CDD505-2E9C-101B-9397-08002B2CF9AE}" pid="4" name="MSIP_Label_f48041ff-f5de-4583-8841-e2a1851ee5d2_SetDate">
    <vt:lpwstr>2022-12-19T12:35:01Z</vt:lpwstr>
  </property>
  <property fmtid="{D5CDD505-2E9C-101B-9397-08002B2CF9AE}" pid="5" name="MSIP_Label_f48041ff-f5de-4583-8841-e2a1851ee5d2_Method">
    <vt:lpwstr>Privileged</vt:lpwstr>
  </property>
  <property fmtid="{D5CDD505-2E9C-101B-9397-08002B2CF9AE}" pid="6" name="MSIP_Label_f48041ff-f5de-4583-8841-e2a1851ee5d2_Name">
    <vt:lpwstr>Confidential</vt:lpwstr>
  </property>
  <property fmtid="{D5CDD505-2E9C-101B-9397-08002B2CF9AE}" pid="7" name="MSIP_Label_f48041ff-f5de-4583-8841-e2a1851ee5d2_SiteId">
    <vt:lpwstr>771c9c47-7f24-44dc-958e-34f8713a8394</vt:lpwstr>
  </property>
  <property fmtid="{D5CDD505-2E9C-101B-9397-08002B2CF9AE}" pid="8" name="MSIP_Label_f48041ff-f5de-4583-8841-e2a1851ee5d2_ActionId">
    <vt:lpwstr>90ce5df7-59d2-41e1-8b06-7b20ed05f551</vt:lpwstr>
  </property>
  <property fmtid="{D5CDD505-2E9C-101B-9397-08002B2CF9AE}" pid="9" name="MSIP_Label_f48041ff-f5de-4583-8841-e2a1851ee5d2_ContentBits">
    <vt:lpwstr>2</vt:lpwstr>
  </property>
</Properties>
</file>